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5791B" w:rsidP="000768AB">
      <w:pPr>
        <w:pStyle w:val="Heading1"/>
      </w:pPr>
      <w:r w:rsidRPr="00B5791B">
        <w:t>Anthropogenic Greenhouse Gas fluxes</w:t>
      </w:r>
    </w:p>
    <w:p w:rsidR="009029F2" w:rsidRDefault="000251F0" w:rsidP="00B5791B">
      <w:pPr>
        <w:pStyle w:val="Heading2"/>
      </w:pPr>
      <w:r w:rsidRPr="009029F2">
        <w:t xml:space="preserve">ECV Product: </w:t>
      </w:r>
      <w:sdt>
        <w:sdtPr>
          <w:id w:val="134147333"/>
          <w:placeholder>
            <w:docPart w:val="DefaultPlaceholder_1082065158"/>
          </w:placeholder>
        </w:sdtPr>
        <w:sdtContent>
          <w:r w:rsidR="00B5791B" w:rsidRPr="00B5791B">
            <w:t>High-resolution footprint around point sources</w:t>
          </w:r>
        </w:sdtContent>
      </w:sdt>
    </w:p>
    <w:tbl>
      <w:tblPr>
        <w:tblW w:w="5000" w:type="pct"/>
        <w:shd w:val="clear" w:color="auto" w:fill="FFFFFF"/>
        <w:tblCellMar>
          <w:left w:w="0" w:type="dxa"/>
          <w:right w:w="0" w:type="dxa"/>
        </w:tblCellMar>
        <w:tblLook w:val="04A0" w:firstRow="1" w:lastRow="0" w:firstColumn="1" w:lastColumn="0" w:noHBand="0" w:noVBand="1"/>
      </w:tblPr>
      <w:tblGrid>
        <w:gridCol w:w="1205"/>
        <w:gridCol w:w="1024"/>
        <w:gridCol w:w="1432"/>
        <w:gridCol w:w="419"/>
        <w:gridCol w:w="1842"/>
        <w:gridCol w:w="5094"/>
      </w:tblGrid>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High-resolution footprint around point sources</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Spatially resolved GHG emission plume around local source</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kg CO2 /m</w:t>
            </w:r>
            <w:r>
              <w:rPr>
                <w:color w:val="222222"/>
                <w:sz w:val="16"/>
                <w:szCs w:val="16"/>
                <w:bdr w:val="none" w:sz="0" w:space="0" w:color="auto" w:frame="1"/>
                <w:vertAlign w:val="superscript"/>
              </w:rPr>
              <w:t>2</w:t>
            </w:r>
            <w:r>
              <w:rPr>
                <w:color w:val="222222"/>
                <w:sz w:val="16"/>
                <w:szCs w:val="16"/>
                <w:bdr w:val="none" w:sz="0" w:space="0" w:color="auto" w:frame="1"/>
              </w:rPr>
              <w:t>/s</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color w:val="222222"/>
                <w:sz w:val="24"/>
                <w:szCs w:val="24"/>
              </w:rPr>
            </w:pPr>
            <w:r>
              <w:rPr>
                <w:b/>
                <w:bCs/>
                <w:color w:val="FFFFFF"/>
                <w:sz w:val="16"/>
                <w:szCs w:val="16"/>
                <w:bdr w:val="none" w:sz="0" w:space="0" w:color="auto" w:frame="1"/>
              </w:rPr>
              <w:t>Requirements</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color w:val="222222"/>
                <w:sz w:val="24"/>
                <w:szCs w:val="24"/>
              </w:rPr>
            </w:pPr>
            <w:r>
              <w:rPr>
                <w:b/>
                <w:bCs/>
                <w:color w:val="FFFFFF"/>
                <w:sz w:val="16"/>
                <w:szCs w:val="16"/>
                <w:bdr w:val="none" w:sz="0" w:space="0" w:color="auto" w:frame="1"/>
              </w:rPr>
              <w:t>Item needed</w:t>
            </w:r>
          </w:p>
        </w:tc>
        <w:tc>
          <w:tcPr>
            <w:tcW w:w="4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b/>
                <w:bCs/>
                <w:color w:val="222222"/>
                <w:sz w:val="16"/>
                <w:szCs w:val="16"/>
                <w:bdr w:val="none" w:sz="0" w:space="0" w:color="auto" w:frame="1"/>
              </w:rPr>
              <w:t>Unit</w:t>
            </w:r>
          </w:p>
        </w:tc>
        <w:tc>
          <w:tcPr>
            <w:tcW w:w="65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rFonts w:ascii="Calibri" w:hAnsi="Calibri"/>
                <w:b/>
                <w:bCs/>
                <w:color w:val="1155CC"/>
                <w:sz w:val="16"/>
                <w:szCs w:val="16"/>
                <w:bdr w:val="none" w:sz="0" w:space="0" w:color="auto" w:frame="1"/>
              </w:rPr>
              <w:t>[1]</w:t>
            </w:r>
          </w:p>
        </w:tc>
        <w:tc>
          <w:tcPr>
            <w:tcW w:w="83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b/>
                <w:bCs/>
                <w:color w:val="222222"/>
                <w:sz w:val="16"/>
                <w:szCs w:val="16"/>
                <w:bdr w:val="none" w:sz="0" w:space="0" w:color="auto" w:frame="1"/>
              </w:rPr>
              <w:t>Value</w:t>
            </w:r>
          </w:p>
        </w:tc>
        <w:tc>
          <w:tcPr>
            <w:tcW w:w="231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b/>
                <w:bCs/>
                <w:color w:val="222222"/>
                <w:sz w:val="16"/>
                <w:szCs w:val="16"/>
                <w:bdr w:val="none" w:sz="0" w:space="0" w:color="auto" w:frame="1"/>
              </w:rPr>
              <w:t>Derivation and References and Standards</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Horizontal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km</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distance</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1</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2</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Vertical Resolution</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N/A</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Temporal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time</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Repeat time of observations</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4 hours</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IPCC 2019 Refinement</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6 days</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Timeliness</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time</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Within one week</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Within one month</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Required Measurement Uncertainty</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Twice the estimated standard deviation of the total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1 ppm</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IPCC 2006 GL</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5 ppm</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IPCC 2006 GL</w:t>
            </w:r>
          </w:p>
        </w:tc>
      </w:tr>
      <w:tr w:rsidR="00B5791B" w:rsidTr="00B5791B">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Stability</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G</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IPCC 2006 GL</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B</w:t>
            </w:r>
          </w:p>
        </w:tc>
        <w:tc>
          <w:tcPr>
            <w:tcW w:w="8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r w:rsidR="00B5791B" w:rsidTr="00B5791B">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B5791B" w:rsidRDefault="00B5791B">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650" w:type="pct"/>
            <w:vMerge/>
            <w:tcBorders>
              <w:top w:val="nil"/>
              <w:left w:val="nil"/>
              <w:bottom w:val="single" w:sz="8" w:space="0" w:color="FFFFFF"/>
              <w:right w:val="single" w:sz="8" w:space="0" w:color="FFFFFF"/>
            </w:tcBorders>
            <w:shd w:val="clear" w:color="auto" w:fill="FFFFFF"/>
            <w:vAlign w:val="center"/>
            <w:hideMark/>
          </w:tcPr>
          <w:p w:rsidR="00B5791B" w:rsidRDefault="00B5791B">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T</w:t>
            </w:r>
          </w:p>
        </w:tc>
        <w:tc>
          <w:tcPr>
            <w:tcW w:w="8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c>
          <w:tcPr>
            <w:tcW w:w="23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IPCC 2006 GL</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xml:space="preserve">ESA Mission requirements document of </w:t>
            </w:r>
            <w:proofErr w:type="spellStart"/>
            <w:r>
              <w:rPr>
                <w:color w:val="222222"/>
                <w:sz w:val="16"/>
                <w:szCs w:val="16"/>
                <w:bdr w:val="none" w:sz="0" w:space="0" w:color="auto" w:frame="1"/>
              </w:rPr>
              <w:t>CarbonSat</w:t>
            </w:r>
            <w:proofErr w:type="spellEnd"/>
            <w:r>
              <w:rPr>
                <w:color w:val="222222"/>
                <w:sz w:val="16"/>
                <w:szCs w:val="16"/>
                <w:bdr w:val="none" w:sz="0" w:space="0" w:color="auto" w:frame="1"/>
              </w:rPr>
              <w:t>, of CO2 Sentinel 7</w:t>
            </w:r>
          </w:p>
        </w:tc>
      </w:tr>
      <w:tr w:rsidR="00B5791B" w:rsidTr="00B579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color w:val="222222"/>
                <w:sz w:val="24"/>
                <w:szCs w:val="24"/>
              </w:rPr>
            </w:pPr>
            <w:r>
              <w:rPr>
                <w:b/>
                <w:bCs/>
                <w:color w:val="FFFFFF"/>
                <w:sz w:val="16"/>
                <w:szCs w:val="16"/>
                <w:bdr w:val="none" w:sz="0" w:space="0" w:color="auto" w:frame="1"/>
              </w:rPr>
              <w:t>Adaptation and Extremes</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 </w:t>
            </w:r>
          </w:p>
        </w:tc>
        <w:tc>
          <w:tcPr>
            <w:tcW w:w="46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65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33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lastRenderedPageBreak/>
              <w:t>Explanation</w:t>
            </w:r>
          </w:p>
        </w:tc>
      </w:tr>
      <w:tr w:rsidR="00B5791B" w:rsidTr="00B5791B">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4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Yes</w:t>
            </w:r>
          </w:p>
        </w:tc>
        <w:tc>
          <w:tcPr>
            <w:tcW w:w="6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Yes</w:t>
            </w:r>
          </w:p>
        </w:tc>
        <w:tc>
          <w:tcPr>
            <w:tcW w:w="333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Allows monitoring of sites where action is being undertaken</w:t>
            </w:r>
          </w:p>
        </w:tc>
      </w:tr>
      <w:tr w:rsidR="00B5791B" w:rsidTr="00B5791B">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5791B" w:rsidRDefault="00B5791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NO</w:t>
            </w:r>
          </w:p>
        </w:tc>
        <w:tc>
          <w:tcPr>
            <w:tcW w:w="6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color w:val="222222"/>
                <w:sz w:val="24"/>
                <w:szCs w:val="24"/>
              </w:rPr>
            </w:pPr>
            <w:r>
              <w:rPr>
                <w:color w:val="222222"/>
                <w:sz w:val="16"/>
                <w:szCs w:val="16"/>
                <w:bdr w:val="none" w:sz="0" w:space="0" w:color="auto" w:frame="1"/>
              </w:rPr>
              <w:t> </w:t>
            </w:r>
          </w:p>
        </w:tc>
        <w:tc>
          <w:tcPr>
            <w:tcW w:w="333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color w:val="222222"/>
                <w:sz w:val="24"/>
                <w:szCs w:val="24"/>
              </w:rPr>
            </w:pPr>
            <w:r>
              <w:rPr>
                <w:color w:val="222222"/>
                <w:sz w:val="16"/>
                <w:szCs w:val="16"/>
                <w:bdr w:val="none" w:sz="0" w:space="0" w:color="auto" w:frame="1"/>
              </w:rPr>
              <w:t> </w:t>
            </w:r>
          </w:p>
        </w:tc>
      </w:tr>
    </w:tbl>
    <w:p w:rsidR="00B5791B" w:rsidRDefault="00B5791B" w:rsidP="00B5791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5791B" w:rsidRDefault="00B5791B" w:rsidP="00B5791B">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B5791B" w:rsidRPr="00B5791B" w:rsidRDefault="00B5791B" w:rsidP="00B579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5791B">
        <w:rPr>
          <w:rFonts w:ascii="Arial" w:hAnsi="Arial" w:cs="Arial"/>
          <w:color w:val="222222"/>
          <w:sz w:val="16"/>
          <w:szCs w:val="16"/>
          <w:bdr w:val="none" w:sz="0" w:space="0" w:color="auto" w:frame="1"/>
          <w:lang w:val="en-US"/>
        </w:rPr>
        <w:t>Goal (G); Breakthrough (B)(not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B5791B" w:rsidRPr="00B5791B" w:rsidRDefault="00B5791B" w:rsidP="00B579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5791B" w:rsidRPr="00B5791B" w:rsidRDefault="00B5791B" w:rsidP="00B5791B">
      <w:pPr>
        <w:pStyle w:val="NormalWeb"/>
        <w:shd w:val="clear" w:color="auto" w:fill="FFFFFF"/>
        <w:spacing w:before="0" w:beforeAutospacing="0" w:after="0" w:afterAutospacing="0"/>
        <w:rPr>
          <w:rFonts w:ascii="Arial" w:hAnsi="Arial" w:cs="Arial"/>
          <w:color w:val="222222"/>
          <w:sz w:val="20"/>
          <w:szCs w:val="20"/>
          <w:lang w:val="en-US"/>
        </w:rPr>
      </w:pPr>
      <w:bookmarkStart w:id="0" w:name="0b15f3f7-bb78-4570-a104-824128c76ba0@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B53A9D">
      <w:pPr>
        <w:pStyle w:val="WMOBodyText"/>
        <w:rPr>
          <w:sz w:val="20"/>
          <w:szCs w:val="20"/>
        </w:rPr>
      </w:pPr>
    </w:p>
    <w:p w:rsidR="00B5791B" w:rsidRDefault="00B5791B" w:rsidP="00B53A9D">
      <w:pPr>
        <w:pStyle w:val="WMOBodyText"/>
        <w:rPr>
          <w:sz w:val="20"/>
          <w:szCs w:val="20"/>
        </w:rPr>
      </w:pPr>
      <w:r>
        <w:rPr>
          <w:sz w:val="20"/>
          <w:szCs w:val="20"/>
        </w:rPr>
        <w:t>NO COMMENT</w:t>
      </w:r>
    </w:p>
    <w:p w:rsidR="00805AED" w:rsidRDefault="00805AED" w:rsidP="00805AED">
      <w:r>
        <w:br w:type="page"/>
      </w:r>
    </w:p>
    <w:p w:rsidR="00F07CBB" w:rsidRDefault="00F07CBB" w:rsidP="00B5791B">
      <w:pPr>
        <w:pStyle w:val="Heading2"/>
      </w:pPr>
      <w:r w:rsidRPr="009029F2">
        <w:lastRenderedPageBreak/>
        <w:t xml:space="preserve">ECV Product: </w:t>
      </w:r>
      <w:sdt>
        <w:sdtPr>
          <w:id w:val="1697959030"/>
          <w:placeholder>
            <w:docPart w:val="85107757D809429F92FF1732865C59F9"/>
          </w:placeholder>
        </w:sdtPr>
        <w:sdtContent>
          <w:r w:rsidR="0099587C">
            <w:t xml:space="preserve">Total </w:t>
          </w:r>
          <w:r w:rsidR="00B5791B" w:rsidRPr="00B5791B">
            <w:t>Estimated fluxes by coupled data assimilation/ models with observed atmospheric – national</w:t>
          </w:r>
        </w:sdtContent>
      </w:sdt>
    </w:p>
    <w:tbl>
      <w:tblPr>
        <w:tblW w:w="5000" w:type="pct"/>
        <w:tblCellMar>
          <w:left w:w="0" w:type="dxa"/>
          <w:right w:w="0" w:type="dxa"/>
        </w:tblCellMar>
        <w:tblLook w:val="04A0" w:firstRow="1" w:lastRow="0" w:firstColumn="1" w:lastColumn="0" w:noHBand="0" w:noVBand="1"/>
      </w:tblPr>
      <w:tblGrid>
        <w:gridCol w:w="1172"/>
        <w:gridCol w:w="996"/>
        <w:gridCol w:w="1696"/>
        <w:gridCol w:w="408"/>
        <w:gridCol w:w="1791"/>
        <w:gridCol w:w="4953"/>
      </w:tblGrid>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Name</w:t>
            </w:r>
          </w:p>
        </w:tc>
        <w:tc>
          <w:tcPr>
            <w:tcW w:w="446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Estimated fluxes by coupled data assimilation/ models with observed atmospheric – national</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Definition</w:t>
            </w:r>
          </w:p>
        </w:tc>
        <w:tc>
          <w:tcPr>
            <w:tcW w:w="446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xml:space="preserve">National estimates derived from highly resolved GHG emission </w:t>
            </w:r>
            <w:proofErr w:type="spellStart"/>
            <w:r>
              <w:rPr>
                <w:sz w:val="16"/>
                <w:szCs w:val="16"/>
                <w:bdr w:val="none" w:sz="0" w:space="0" w:color="auto" w:frame="1"/>
              </w:rPr>
              <w:t>gridmaps</w:t>
            </w:r>
            <w:proofErr w:type="spellEnd"/>
            <w:r>
              <w:rPr>
                <w:sz w:val="16"/>
                <w:szCs w:val="16"/>
                <w:bdr w:val="none" w:sz="0" w:space="0" w:color="auto" w:frame="1"/>
              </w:rPr>
              <w:t xml:space="preserve"> (modelled output, using proxy for the spatial distribution at fine-scale resolution)</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Unit</w:t>
            </w:r>
          </w:p>
        </w:tc>
        <w:tc>
          <w:tcPr>
            <w:tcW w:w="446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kg CO2eq /m</w:t>
            </w:r>
            <w:r>
              <w:rPr>
                <w:sz w:val="16"/>
                <w:szCs w:val="16"/>
                <w:bdr w:val="none" w:sz="0" w:space="0" w:color="auto" w:frame="1"/>
                <w:vertAlign w:val="superscript"/>
              </w:rPr>
              <w:t>2</w:t>
            </w:r>
            <w:r>
              <w:rPr>
                <w:sz w:val="16"/>
                <w:szCs w:val="16"/>
                <w:bdr w:val="none" w:sz="0" w:space="0" w:color="auto" w:frame="1"/>
              </w:rPr>
              <w:t>/s</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Note</w:t>
            </w:r>
          </w:p>
        </w:tc>
        <w:tc>
          <w:tcPr>
            <w:tcW w:w="446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Total estimated fluxes by coupled data assimilation/ inverse models at a national scale. This includes both “anthropogenic” and “natural” emissions and removals.</w:t>
            </w:r>
          </w:p>
        </w:tc>
      </w:tr>
      <w:tr w:rsidR="00B5791B" w:rsidTr="00B579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sz w:val="24"/>
                <w:szCs w:val="24"/>
              </w:rPr>
            </w:pPr>
            <w:r>
              <w:rPr>
                <w:b/>
                <w:bCs/>
                <w:color w:val="FFFFFF"/>
                <w:sz w:val="16"/>
                <w:szCs w:val="16"/>
                <w:bdr w:val="none" w:sz="0" w:space="0" w:color="auto" w:frame="1"/>
              </w:rPr>
              <w:t>Requirements</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sz w:val="24"/>
                <w:szCs w:val="24"/>
              </w:rPr>
            </w:pPr>
            <w:r>
              <w:rPr>
                <w:b/>
                <w:bCs/>
                <w:color w:val="FFFFFF"/>
                <w:sz w:val="16"/>
                <w:szCs w:val="16"/>
                <w:bdr w:val="none" w:sz="0" w:space="0" w:color="auto" w:frame="1"/>
              </w:rPr>
              <w:t>Item needed</w:t>
            </w:r>
          </w:p>
        </w:tc>
        <w:tc>
          <w:tcPr>
            <w:tcW w:w="45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b/>
                <w:bCs/>
                <w:sz w:val="16"/>
                <w:szCs w:val="16"/>
                <w:bdr w:val="none" w:sz="0" w:space="0" w:color="auto" w:frame="1"/>
              </w:rPr>
              <w:t>Unit</w:t>
            </w:r>
          </w:p>
        </w:tc>
        <w:tc>
          <w:tcPr>
            <w:tcW w:w="7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b/>
                <w:bCs/>
                <w:sz w:val="16"/>
                <w:szCs w:val="16"/>
                <w:bdr w:val="none" w:sz="0" w:space="0" w:color="auto" w:frame="1"/>
              </w:rPr>
              <w:t>Metric</w:t>
            </w:r>
          </w:p>
        </w:tc>
        <w:tc>
          <w:tcPr>
            <w:tcW w:w="18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rFonts w:ascii="Calibri" w:hAnsi="Calibri"/>
                <w:b/>
                <w:bCs/>
                <w:color w:val="1155CC"/>
                <w:sz w:val="16"/>
                <w:szCs w:val="16"/>
                <w:bdr w:val="none" w:sz="0" w:space="0" w:color="auto" w:frame="1"/>
              </w:rPr>
              <w:t>[1]</w:t>
            </w:r>
          </w:p>
        </w:tc>
        <w:tc>
          <w:tcPr>
            <w:tcW w:w="8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b/>
                <w:bCs/>
                <w:sz w:val="16"/>
                <w:szCs w:val="16"/>
                <w:bdr w:val="none" w:sz="0" w:space="0" w:color="auto" w:frame="1"/>
              </w:rPr>
              <w:t>Value</w:t>
            </w:r>
          </w:p>
        </w:tc>
        <w:tc>
          <w:tcPr>
            <w:tcW w:w="224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b/>
                <w:bCs/>
                <w:sz w:val="16"/>
                <w:szCs w:val="16"/>
                <w:bdr w:val="none" w:sz="0" w:space="0" w:color="auto" w:frame="1"/>
              </w:rPr>
              <w:t>Derivation and References and Standards</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Horizontal Resolution</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km</w:t>
            </w:r>
          </w:p>
        </w:tc>
        <w:tc>
          <w:tcPr>
            <w:tcW w:w="7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Size of country</w:t>
            </w: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10</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100</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Vertical Resolution</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Four Layers</w:t>
            </w:r>
          </w:p>
        </w:tc>
        <w:tc>
          <w:tcPr>
            <w:tcW w:w="7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Pr="00B5791B" w:rsidRDefault="00B5791B">
            <w:pPr>
              <w:pStyle w:val="NormalWeb"/>
              <w:spacing w:before="0" w:beforeAutospacing="0" w:after="0" w:afterAutospacing="0"/>
              <w:ind w:left="360"/>
              <w:rPr>
                <w:lang w:val="en-US"/>
              </w:rPr>
            </w:pPr>
            <w:r>
              <w:rPr>
                <w:sz w:val="16"/>
                <w:szCs w:val="16"/>
                <w:bdr w:val="none" w:sz="0" w:space="0" w:color="auto" w:frame="1"/>
                <w:lang w:val="en-US"/>
              </w:rPr>
              <w:t>1)</w:t>
            </w:r>
            <w:r>
              <w:rPr>
                <w:sz w:val="14"/>
                <w:szCs w:val="14"/>
                <w:bdr w:val="none" w:sz="0" w:space="0" w:color="auto" w:frame="1"/>
                <w:lang w:val="en-US"/>
              </w:rPr>
              <w:t>        </w:t>
            </w:r>
            <w:r>
              <w:rPr>
                <w:sz w:val="16"/>
                <w:szCs w:val="16"/>
                <w:bdr w:val="none" w:sz="0" w:space="0" w:color="auto" w:frame="1"/>
                <w:lang w:val="en-US"/>
              </w:rPr>
              <w:t>surface,</w:t>
            </w:r>
          </w:p>
          <w:p w:rsidR="00B5791B" w:rsidRPr="00B5791B" w:rsidRDefault="00B5791B">
            <w:pPr>
              <w:pStyle w:val="NormalWeb"/>
              <w:spacing w:before="0" w:beforeAutospacing="0" w:after="0" w:afterAutospacing="0"/>
              <w:ind w:left="360"/>
              <w:rPr>
                <w:lang w:val="en-US"/>
              </w:rPr>
            </w:pPr>
            <w:r>
              <w:rPr>
                <w:sz w:val="16"/>
                <w:szCs w:val="16"/>
                <w:bdr w:val="none" w:sz="0" w:space="0" w:color="auto" w:frame="1"/>
                <w:lang w:val="en-US"/>
              </w:rPr>
              <w:t>2)</w:t>
            </w:r>
            <w:r>
              <w:rPr>
                <w:sz w:val="14"/>
                <w:szCs w:val="14"/>
                <w:bdr w:val="none" w:sz="0" w:space="0" w:color="auto" w:frame="1"/>
                <w:lang w:val="en-US"/>
              </w:rPr>
              <w:t>        </w:t>
            </w:r>
            <w:r>
              <w:rPr>
                <w:sz w:val="16"/>
                <w:szCs w:val="16"/>
                <w:bdr w:val="none" w:sz="0" w:space="0" w:color="auto" w:frame="1"/>
                <w:lang w:val="en-US"/>
              </w:rPr>
              <w:t>stack height (between 100m and 300m),</w:t>
            </w:r>
          </w:p>
          <w:p w:rsidR="00B5791B" w:rsidRPr="00B5791B" w:rsidRDefault="00B5791B">
            <w:pPr>
              <w:pStyle w:val="NormalWeb"/>
              <w:spacing w:before="0" w:beforeAutospacing="0" w:after="0" w:afterAutospacing="0"/>
              <w:ind w:left="360"/>
              <w:rPr>
                <w:lang w:val="en-US"/>
              </w:rPr>
            </w:pPr>
            <w:r>
              <w:rPr>
                <w:sz w:val="16"/>
                <w:szCs w:val="16"/>
                <w:bdr w:val="none" w:sz="0" w:space="0" w:color="auto" w:frame="1"/>
                <w:lang w:val="en-US"/>
              </w:rPr>
              <w:t>3)</w:t>
            </w:r>
            <w:r>
              <w:rPr>
                <w:sz w:val="14"/>
                <w:szCs w:val="14"/>
                <w:bdr w:val="none" w:sz="0" w:space="0" w:color="auto" w:frame="1"/>
                <w:lang w:val="en-US"/>
              </w:rPr>
              <w:t>        </w:t>
            </w:r>
            <w:r>
              <w:rPr>
                <w:sz w:val="16"/>
                <w:szCs w:val="16"/>
                <w:bdr w:val="none" w:sz="0" w:space="0" w:color="auto" w:frame="1"/>
                <w:lang w:val="en-US"/>
              </w:rPr>
              <w:t>cruise height (10km) and</w:t>
            </w:r>
          </w:p>
          <w:p w:rsidR="00B5791B" w:rsidRPr="00B5791B" w:rsidRDefault="00B5791B">
            <w:pPr>
              <w:pStyle w:val="NormalWeb"/>
              <w:spacing w:before="0" w:beforeAutospacing="0" w:after="0" w:afterAutospacing="0"/>
              <w:ind w:left="360"/>
              <w:rPr>
                <w:lang w:val="en-US"/>
              </w:rPr>
            </w:pPr>
            <w:r>
              <w:rPr>
                <w:sz w:val="16"/>
                <w:szCs w:val="16"/>
                <w:bdr w:val="none" w:sz="0" w:space="0" w:color="auto" w:frame="1"/>
                <w:lang w:val="en-US"/>
              </w:rPr>
              <w:t>4)</w:t>
            </w:r>
            <w:r>
              <w:rPr>
                <w:sz w:val="14"/>
                <w:szCs w:val="14"/>
                <w:bdr w:val="none" w:sz="0" w:space="0" w:color="auto" w:frame="1"/>
                <w:lang w:val="en-US"/>
              </w:rPr>
              <w:t>        </w:t>
            </w:r>
            <w:r>
              <w:rPr>
                <w:sz w:val="16"/>
                <w:szCs w:val="16"/>
                <w:bdr w:val="none" w:sz="0" w:space="0" w:color="auto" w:frame="1"/>
                <w:lang w:val="en-US"/>
              </w:rPr>
              <w:t>supersonic height</w:t>
            </w:r>
          </w:p>
          <w:p w:rsidR="00B5791B" w:rsidRDefault="00B5791B">
            <w:pPr>
              <w:jc w:val="center"/>
              <w:rPr>
                <w:sz w:val="24"/>
                <w:szCs w:val="24"/>
              </w:rPr>
            </w:pPr>
            <w:r>
              <w:rPr>
                <w:sz w:val="16"/>
                <w:szCs w:val="16"/>
                <w:bdr w:val="none" w:sz="0" w:space="0" w:color="auto" w:frame="1"/>
              </w:rPr>
              <w:t>(15 km)</w:t>
            </w: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Temporal Resolution</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time</w:t>
            </w:r>
          </w:p>
        </w:tc>
        <w:tc>
          <w:tcPr>
            <w:tcW w:w="7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time</w:t>
            </w: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Annual</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IPCC 2006 GL, UNFCCC Inventory Guidelines</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Annual</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IPCC 2006 GL, UNFCCC Inventory Guidelines</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Timeliness</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time</w:t>
            </w:r>
          </w:p>
        </w:tc>
        <w:tc>
          <w:tcPr>
            <w:tcW w:w="7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time</w:t>
            </w: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WITHIN ONE 1.25 YEARS</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To allow comparison with estimates made following the UNFCCC Inventory Reporting Guidelines</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WITHIN ONE 1.25 YEARS</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To allow comparison with estimates made following the UNFCCC Inventory Reporting Guidelines</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Required Measurement Uncertainty</w:t>
            </w:r>
          </w:p>
        </w:tc>
        <w:tc>
          <w:tcPr>
            <w:tcW w:w="45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 </w:t>
            </w:r>
          </w:p>
        </w:tc>
        <w:tc>
          <w:tcPr>
            <w:tcW w:w="7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Twice the estimated standard deviation of the total as a % of the total</w:t>
            </w: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10%</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IPCC 2006 GL</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30%</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IPCC 2006 GL</w:t>
            </w:r>
          </w:p>
        </w:tc>
      </w:tr>
      <w:tr w:rsidR="00B5791B" w:rsidTr="00B5791B">
        <w:tc>
          <w:tcPr>
            <w:tcW w:w="53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Stability</w:t>
            </w:r>
          </w:p>
        </w:tc>
        <w:tc>
          <w:tcPr>
            <w:tcW w:w="45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 </w:t>
            </w:r>
          </w:p>
        </w:tc>
        <w:tc>
          <w:tcPr>
            <w:tcW w:w="7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 </w:t>
            </w: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G</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IPCC 2006 GL</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B</w:t>
            </w:r>
          </w:p>
        </w:tc>
        <w:tc>
          <w:tcPr>
            <w:tcW w:w="8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32" w:type="pct"/>
            <w:vMerge/>
            <w:tcBorders>
              <w:top w:val="single" w:sz="8" w:space="0" w:color="FFFFFF"/>
              <w:left w:val="single" w:sz="8" w:space="0" w:color="FFFFFF"/>
              <w:bottom w:val="nil"/>
              <w:right w:val="single" w:sz="24" w:space="0" w:color="FFFFFF"/>
            </w:tcBorders>
            <w:vAlign w:val="center"/>
            <w:hideMark/>
          </w:tcPr>
          <w:p w:rsidR="00B5791B" w:rsidRDefault="00B5791B">
            <w:pPr>
              <w:rPr>
                <w:sz w:val="24"/>
                <w:szCs w:val="24"/>
              </w:rPr>
            </w:pPr>
          </w:p>
        </w:tc>
        <w:tc>
          <w:tcPr>
            <w:tcW w:w="452"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770" w:type="pct"/>
            <w:vMerge/>
            <w:tcBorders>
              <w:top w:val="nil"/>
              <w:left w:val="nil"/>
              <w:bottom w:val="single" w:sz="8" w:space="0" w:color="FFFFFF"/>
              <w:right w:val="single" w:sz="8" w:space="0" w:color="FFFFFF"/>
            </w:tcBorders>
            <w:vAlign w:val="center"/>
            <w:hideMark/>
          </w:tcPr>
          <w:p w:rsidR="00B5791B" w:rsidRDefault="00B5791B">
            <w:pPr>
              <w:rPr>
                <w:sz w:val="24"/>
                <w:szCs w:val="24"/>
              </w:rPr>
            </w:pPr>
          </w:p>
        </w:tc>
        <w:tc>
          <w:tcPr>
            <w:tcW w:w="18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T</w:t>
            </w:r>
          </w:p>
        </w:tc>
        <w:tc>
          <w:tcPr>
            <w:tcW w:w="8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c>
          <w:tcPr>
            <w:tcW w:w="224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IPCC 2006 GL</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Standards and References</w:t>
            </w:r>
          </w:p>
        </w:tc>
        <w:tc>
          <w:tcPr>
            <w:tcW w:w="446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r w:rsidR="00B5791B" w:rsidTr="00B579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jc w:val="center"/>
              <w:rPr>
                <w:sz w:val="24"/>
                <w:szCs w:val="24"/>
              </w:rPr>
            </w:pPr>
            <w:r>
              <w:rPr>
                <w:b/>
                <w:bCs/>
                <w:color w:val="FFFFFF"/>
                <w:sz w:val="16"/>
                <w:szCs w:val="16"/>
                <w:bdr w:val="none" w:sz="0" w:space="0" w:color="auto" w:frame="1"/>
              </w:rPr>
              <w:t>Adaptation and Extremes</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lastRenderedPageBreak/>
              <w:t> </w:t>
            </w:r>
          </w:p>
        </w:tc>
        <w:tc>
          <w:tcPr>
            <w:tcW w:w="45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Relevant? (Yes/No)</w:t>
            </w:r>
          </w:p>
        </w:tc>
        <w:tc>
          <w:tcPr>
            <w:tcW w:w="77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246"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Explanation</w:t>
            </w:r>
          </w:p>
        </w:tc>
      </w:tr>
      <w:tr w:rsidR="00B5791B" w:rsidTr="00B5791B">
        <w:tc>
          <w:tcPr>
            <w:tcW w:w="53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5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Yes</w:t>
            </w:r>
          </w:p>
        </w:tc>
        <w:tc>
          <w:tcPr>
            <w:tcW w:w="7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Yes</w:t>
            </w:r>
          </w:p>
        </w:tc>
        <w:tc>
          <w:tcPr>
            <w:tcW w:w="3246"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Allows confirmation that the atmospheric inputs of CO</w:t>
            </w:r>
            <w:r>
              <w:rPr>
                <w:sz w:val="16"/>
                <w:szCs w:val="16"/>
                <w:bdr w:val="none" w:sz="0" w:space="0" w:color="auto" w:frame="1"/>
                <w:vertAlign w:val="subscript"/>
              </w:rPr>
              <w:t>2</w:t>
            </w:r>
            <w:r>
              <w:rPr>
                <w:sz w:val="16"/>
                <w:szCs w:val="16"/>
                <w:bdr w:val="none" w:sz="0" w:space="0" w:color="auto" w:frame="1"/>
              </w:rPr>
              <w:t> are as expected by national plans for mitigation and adaptation. When accurate grid maps can be routinely produced these would support project monitoring as well.</w:t>
            </w:r>
          </w:p>
        </w:tc>
      </w:tr>
      <w:tr w:rsidR="00B5791B" w:rsidTr="00B5791B">
        <w:trPr>
          <w:trHeight w:val="266"/>
        </w:trPr>
        <w:tc>
          <w:tcPr>
            <w:tcW w:w="53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5791B" w:rsidRDefault="00B5791B">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5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 </w:t>
            </w:r>
          </w:p>
        </w:tc>
        <w:tc>
          <w:tcPr>
            <w:tcW w:w="7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jc w:val="center"/>
              <w:rPr>
                <w:sz w:val="24"/>
                <w:szCs w:val="24"/>
              </w:rPr>
            </w:pPr>
            <w:r>
              <w:rPr>
                <w:sz w:val="16"/>
                <w:szCs w:val="16"/>
                <w:bdr w:val="none" w:sz="0" w:space="0" w:color="auto" w:frame="1"/>
              </w:rPr>
              <w:t> </w:t>
            </w:r>
          </w:p>
        </w:tc>
        <w:tc>
          <w:tcPr>
            <w:tcW w:w="3246"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791B" w:rsidRDefault="00B5791B">
            <w:pPr>
              <w:rPr>
                <w:sz w:val="24"/>
                <w:szCs w:val="24"/>
              </w:rPr>
            </w:pPr>
            <w:r>
              <w:rPr>
                <w:sz w:val="16"/>
                <w:szCs w:val="16"/>
                <w:bdr w:val="none" w:sz="0" w:space="0" w:color="auto" w:frame="1"/>
              </w:rPr>
              <w:t> </w:t>
            </w:r>
          </w:p>
        </w:tc>
      </w:tr>
    </w:tbl>
    <w:p w:rsidR="00B5791B" w:rsidRPr="00B5791B" w:rsidRDefault="00B5791B" w:rsidP="00B5791B">
      <w:pPr>
        <w:rPr>
          <w:color w:val="222222"/>
        </w:rPr>
      </w:pPr>
      <w:r>
        <w:rPr>
          <w:color w:val="222222"/>
        </w:rPr>
        <w:br w:type="textWrapping" w:clear="all"/>
      </w:r>
      <w:r w:rsidRPr="00B5791B">
        <w:rPr>
          <w:color w:val="222222"/>
        </w:rPr>
        <w:pict>
          <v:rect id="_x0000_i1026" style="width:178.2pt;height:.75pt" o:hrpct="330" o:hrstd="t" o:hr="t" fillcolor="#a0a0a0" stroked="f"/>
        </w:pict>
      </w:r>
    </w:p>
    <w:p w:rsidR="00B5791B" w:rsidRPr="00B5791B" w:rsidRDefault="00B5791B" w:rsidP="00B5791B">
      <w:pPr>
        <w:pStyle w:val="NormalWeb"/>
        <w:spacing w:before="0" w:beforeAutospacing="0" w:after="0" w:afterAutospacing="0"/>
        <w:rPr>
          <w:rFonts w:asciiTheme="minorHAnsi" w:hAnsiTheme="minorHAnsi"/>
          <w:color w:val="222222"/>
          <w:lang w:val="en-US"/>
        </w:rPr>
      </w:pPr>
      <w:r w:rsidRPr="00B5791B">
        <w:rPr>
          <w:rFonts w:asciiTheme="minorHAnsi" w:hAnsiTheme="minorHAnsi"/>
          <w:color w:val="1155CC"/>
          <w:sz w:val="22"/>
          <w:szCs w:val="22"/>
          <w:bdr w:val="none" w:sz="0" w:space="0" w:color="auto" w:frame="1"/>
          <w:lang w:val="en-US"/>
        </w:rPr>
        <w:t>[1]</w:t>
      </w:r>
      <w:r w:rsidRPr="00B5791B">
        <w:rPr>
          <w:rFonts w:asciiTheme="minorHAnsi" w:hAnsiTheme="minorHAnsi"/>
          <w:color w:val="222222"/>
          <w:sz w:val="16"/>
          <w:szCs w:val="16"/>
          <w:bdr w:val="none" w:sz="0" w:space="0" w:color="auto" w:frame="1"/>
          <w:lang w:val="en-US"/>
        </w:rPr>
        <w:t>Goal (G); Breakthrough (B)(not mandatory, more as one possible); Threshold (T), for definitions see </w:t>
      </w:r>
      <w:hyperlink r:id="rId10" w:tgtFrame="_blank" w:history="1">
        <w:r w:rsidRPr="00B5791B">
          <w:rPr>
            <w:rStyle w:val="Hyperlink"/>
            <w:rFonts w:asciiTheme="minorHAnsi" w:hAnsiTheme="minorHAnsi"/>
            <w:color w:val="6611CC"/>
            <w:sz w:val="16"/>
            <w:szCs w:val="16"/>
            <w:bdr w:val="none" w:sz="0" w:space="0" w:color="auto" w:frame="1"/>
            <w:lang w:val="en-GB"/>
          </w:rPr>
          <w:t>Guidelines</w:t>
        </w:r>
      </w:hyperlink>
    </w:p>
    <w:p w:rsidR="00B5791B" w:rsidRPr="00B5791B" w:rsidRDefault="00B5791B" w:rsidP="00B5791B">
      <w:pPr>
        <w:pStyle w:val="NormalWeb"/>
        <w:spacing w:before="0" w:beforeAutospacing="0" w:after="0" w:afterAutospacing="0"/>
        <w:rPr>
          <w:rFonts w:asciiTheme="minorHAnsi" w:hAnsiTheme="minorHAnsi"/>
          <w:color w:val="222222"/>
          <w:lang w:val="en-US"/>
        </w:rPr>
      </w:pPr>
      <w:r w:rsidRPr="00B5791B">
        <w:rPr>
          <w:rFonts w:asciiTheme="minorHAnsi" w:hAnsiTheme="minorHAnsi"/>
          <w:color w:val="1155CC"/>
          <w:sz w:val="20"/>
          <w:szCs w:val="20"/>
          <w:bdr w:val="none" w:sz="0" w:space="0" w:color="auto" w:frame="1"/>
          <w:lang w:val="en-US"/>
        </w:rPr>
        <w:t>[2]</w:t>
      </w:r>
      <w:r w:rsidRPr="00B5791B">
        <w:rPr>
          <w:rFonts w:asciiTheme="minorHAnsi" w:hAnsiTheme="minorHAnsi"/>
          <w:color w:val="222222"/>
          <w:bdr w:val="none" w:sz="0" w:space="0" w:color="auto" w:frame="1"/>
          <w:lang w:val="en-US"/>
        </w:rPr>
        <w:t> </w:t>
      </w:r>
      <w:r w:rsidRPr="00B5791B">
        <w:rPr>
          <w:rFonts w:asciiTheme="minorHAnsi" w:hAnsiTheme="minorHAnsi"/>
          <w:color w:val="222222"/>
          <w:sz w:val="16"/>
          <w:szCs w:val="16"/>
          <w:bdr w:val="none" w:sz="0" w:space="0" w:color="auto" w:frame="1"/>
          <w:lang w:val="en-US"/>
        </w:rPr>
        <w:t>Is the ECV Product directly relevant to support Climate Adaptation?</w:t>
      </w:r>
    </w:p>
    <w:p w:rsidR="00B5791B" w:rsidRPr="00B5791B" w:rsidRDefault="00B5791B" w:rsidP="00B5791B">
      <w:pPr>
        <w:pStyle w:val="NormalWeb"/>
        <w:spacing w:before="0" w:beforeAutospacing="0" w:after="0" w:afterAutospacing="0"/>
        <w:rPr>
          <w:rFonts w:asciiTheme="minorHAnsi" w:hAnsiTheme="minorHAnsi"/>
          <w:color w:val="222222"/>
          <w:lang w:val="en-US"/>
        </w:rPr>
      </w:pPr>
      <w:bookmarkStart w:id="1" w:name="ba9920c4-24af-447d-8836-cde434fad1ad@wmo"/>
      <w:r w:rsidRPr="00B5791B">
        <w:rPr>
          <w:rFonts w:asciiTheme="minorHAnsi" w:hAnsiTheme="minorHAnsi"/>
          <w:color w:val="1155CC"/>
          <w:sz w:val="20"/>
          <w:szCs w:val="20"/>
          <w:bdr w:val="none" w:sz="0" w:space="0" w:color="auto" w:frame="1"/>
          <w:lang w:val="en-US"/>
        </w:rPr>
        <w:t>[3]</w:t>
      </w:r>
      <w:bookmarkEnd w:id="1"/>
      <w:r w:rsidRPr="00B5791B">
        <w:rPr>
          <w:rFonts w:asciiTheme="minorHAnsi" w:hAnsiTheme="minorHAnsi"/>
          <w:color w:val="222222"/>
          <w:bdr w:val="none" w:sz="0" w:space="0" w:color="auto" w:frame="1"/>
          <w:lang w:val="en-US"/>
        </w:rPr>
        <w:t> </w:t>
      </w:r>
      <w:r w:rsidRPr="00B5791B">
        <w:rPr>
          <w:rFonts w:asciiTheme="minorHAnsi" w:hAnsiTheme="minorHAnsi"/>
          <w:color w:val="222222"/>
          <w:sz w:val="16"/>
          <w:szCs w:val="16"/>
          <w:bdr w:val="none" w:sz="0" w:space="0" w:color="auto" w:frame="1"/>
          <w:lang w:val="en-US"/>
        </w:rPr>
        <w:t>Can the ECV Product be used to monitor climate extremes or aspects of extremes?</w:t>
      </w:r>
    </w:p>
    <w:p w:rsidR="00B5791B" w:rsidRDefault="00B5791B" w:rsidP="00B5791B">
      <w:pPr>
        <w:pStyle w:val="WMOBodyText"/>
      </w:pP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B5791B">
        <w:trPr>
          <w:trHeight w:val="340"/>
        </w:trPr>
        <w:tc>
          <w:tcPr>
            <w:tcW w:w="2441" w:type="pct"/>
            <w:vAlign w:val="center"/>
          </w:tcPr>
          <w:p w:rsidR="00F07CBB" w:rsidRPr="00215C42" w:rsidRDefault="00F07CBB" w:rsidP="00B5791B">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B5791B">
                  <w:rPr>
                    <w:sz w:val="20"/>
                    <w:szCs w:val="20"/>
                  </w:rPr>
                  <w:t xml:space="preserve">Martin </w:t>
                </w:r>
                <w:proofErr w:type="spellStart"/>
                <w:r w:rsidR="00B5791B">
                  <w:rPr>
                    <w:sz w:val="20"/>
                    <w:szCs w:val="20"/>
                  </w:rPr>
                  <w:t>Steinbacher</w:t>
                </w:r>
                <w:proofErr w:type="spellEnd"/>
              </w:sdtContent>
            </w:sdt>
          </w:p>
        </w:tc>
        <w:tc>
          <w:tcPr>
            <w:tcW w:w="2559" w:type="pct"/>
            <w:vAlign w:val="center"/>
          </w:tcPr>
          <w:p w:rsidR="00F07CBB" w:rsidRPr="00E80C12" w:rsidRDefault="00F07CBB" w:rsidP="00B5791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Content>
                <w:r w:rsidR="00B5791B" w:rsidRPr="00B5791B">
                  <w:rPr>
                    <w:sz w:val="20"/>
                    <w:szCs w:val="20"/>
                  </w:rPr>
                  <w:t>martin.stonycreek@gmail.com</w:t>
                </w:r>
              </w:sdtContent>
            </w:sdt>
          </w:p>
        </w:tc>
      </w:tr>
      <w:tr w:rsidR="00F07CBB" w:rsidTr="00B5791B">
        <w:tc>
          <w:tcPr>
            <w:tcW w:w="5000" w:type="pct"/>
            <w:gridSpan w:val="2"/>
          </w:tcPr>
          <w:sdt>
            <w:sdtPr>
              <w:id w:val="-856044024"/>
              <w:placeholder>
                <w:docPart w:val="27F9A8AFEAA94DA8B2756114855CDBAD"/>
              </w:placeholder>
            </w:sdtPr>
            <w:sdtContent>
              <w:p w:rsidR="00B5791B" w:rsidRDefault="00B5791B" w:rsidP="00B5791B">
                <w:pPr>
                  <w:pStyle w:val="ListParagraph"/>
                  <w:numPr>
                    <w:ilvl w:val="0"/>
                    <w:numId w:val="4"/>
                  </w:numPr>
                  <w:rPr>
                    <w:sz w:val="20"/>
                    <w:szCs w:val="20"/>
                  </w:rPr>
                </w:pPr>
                <w:r>
                  <w:t>u</w:t>
                </w:r>
                <w:r w:rsidRPr="00B5791B">
                  <w:rPr>
                    <w:sz w:val="20"/>
                    <w:szCs w:val="20"/>
                  </w:rPr>
                  <w:t xml:space="preserve">pdate reference IPCC 2006 GL by the 2019 refinement </w:t>
                </w:r>
                <w:hyperlink r:id="rId11" w:history="1">
                  <w:r w:rsidRPr="000E5410">
                    <w:rPr>
                      <w:rStyle w:val="Hyperlink"/>
                      <w:sz w:val="20"/>
                      <w:szCs w:val="20"/>
                    </w:rPr>
                    <w:t>https://www.ipcc-nggip.iges.or.jp/public/2019rf/index.html</w:t>
                  </w:r>
                </w:hyperlink>
              </w:p>
              <w:p w:rsidR="00B5791B" w:rsidRDefault="00B5791B" w:rsidP="00B5791B">
                <w:pPr>
                  <w:pStyle w:val="ListParagraph"/>
                  <w:numPr>
                    <w:ilvl w:val="0"/>
                    <w:numId w:val="4"/>
                  </w:numPr>
                  <w:rPr>
                    <w:sz w:val="20"/>
                    <w:szCs w:val="20"/>
                  </w:rPr>
                </w:pPr>
                <w:r>
                  <w:rPr>
                    <w:sz w:val="20"/>
                    <w:szCs w:val="20"/>
                  </w:rPr>
                  <w:t>M</w:t>
                </w:r>
                <w:r w:rsidRPr="00B5791B">
                  <w:rPr>
                    <w:sz w:val="20"/>
                    <w:szCs w:val="20"/>
                  </w:rPr>
                  <w:t>ake reference in particular to Volume I, Chapter 6.10.2 Comparisons with atmospheric measurements</w:t>
                </w:r>
              </w:p>
              <w:p w:rsidR="00B5791B" w:rsidRDefault="00B5791B" w:rsidP="00B5791B">
                <w:pPr>
                  <w:pStyle w:val="ListParagraph"/>
                  <w:numPr>
                    <w:ilvl w:val="0"/>
                    <w:numId w:val="4"/>
                  </w:numPr>
                  <w:rPr>
                    <w:sz w:val="20"/>
                    <w:szCs w:val="20"/>
                  </w:rPr>
                </w:pPr>
                <w:r>
                  <w:rPr>
                    <w:sz w:val="20"/>
                    <w:szCs w:val="20"/>
                  </w:rPr>
                  <w:t>A</w:t>
                </w:r>
                <w:r w:rsidRPr="00B5791B">
                  <w:rPr>
                    <w:sz w:val="20"/>
                    <w:szCs w:val="20"/>
                  </w:rPr>
                  <w:t>dd reference to GAW Report No. 245, An Integrated Global Greenhouse Gas Information System (IG3IS) Science Implementation Plan</w:t>
                </w:r>
              </w:p>
              <w:p w:rsidR="00F07CBB" w:rsidRPr="00B5791B" w:rsidRDefault="00B5791B" w:rsidP="00B5791B">
                <w:pPr>
                  <w:pStyle w:val="ListParagraph"/>
                  <w:numPr>
                    <w:ilvl w:val="0"/>
                    <w:numId w:val="4"/>
                  </w:numPr>
                  <w:rPr>
                    <w:sz w:val="20"/>
                    <w:szCs w:val="20"/>
                  </w:rPr>
                </w:pPr>
                <w:r w:rsidRPr="00B5791B">
                  <w:rPr>
                    <w:sz w:val="20"/>
                    <w:szCs w:val="20"/>
                  </w:rPr>
                  <w:t>Reword explanation for adaption that it reads</w:t>
                </w:r>
                <w:r w:rsidRPr="00B5791B">
                  <w:rPr>
                    <w:sz w:val="20"/>
                    <w:szCs w:val="20"/>
                  </w:rPr>
                  <w:br/>
                  <w:t xml:space="preserve">"Provides information (a) to support uncertainty reduction of GHG emissions in national plans for mitigation and adaptation, (b) to allocate and quantify (previously unknown or unreported) large emitters, (c) to support the global </w:t>
                </w:r>
                <w:proofErr w:type="spellStart"/>
                <w:r w:rsidRPr="00B5791B">
                  <w:rPr>
                    <w:sz w:val="20"/>
                    <w:szCs w:val="20"/>
                  </w:rPr>
                  <w:t>stocktake</w:t>
                </w:r>
                <w:proofErr w:type="spellEnd"/>
                <w:r w:rsidRPr="00B5791B">
                  <w:rPr>
                    <w:sz w:val="20"/>
                    <w:szCs w:val="20"/>
                  </w:rPr>
                  <w:t xml:space="preserve"> as part of the Paris Agreement.</w:t>
                </w:r>
                <w:r>
                  <w:rPr>
                    <w:rFonts w:ascii="Arial" w:hAnsi="Arial" w:cs="Arial"/>
                    <w:color w:val="222222"/>
                    <w:sz w:val="20"/>
                    <w:szCs w:val="20"/>
                    <w:shd w:val="clear" w:color="auto" w:fill="FFFFFF"/>
                  </w:rPr>
                  <w:t>"</w:t>
                </w:r>
              </w:p>
            </w:sdtContent>
          </w:sdt>
        </w:tc>
      </w:tr>
    </w:tbl>
    <w:p w:rsidR="00F07CBB" w:rsidRDefault="00F07CBB" w:rsidP="00F07CBB">
      <w:pPr>
        <w:pStyle w:val="WMOBodyText"/>
        <w:rPr>
          <w:sz w:val="20"/>
          <w:szCs w:val="20"/>
        </w:rPr>
      </w:pPr>
    </w:p>
    <w:p w:rsidR="00F07CBB" w:rsidRDefault="00F07CBB" w:rsidP="00F07CBB">
      <w:r>
        <w:br w:type="page"/>
      </w:r>
    </w:p>
    <w:p w:rsidR="003E2CE8" w:rsidRDefault="000251F0" w:rsidP="0099587C">
      <w:pPr>
        <w:pStyle w:val="Heading2"/>
      </w:pPr>
      <w:r w:rsidRPr="009029F2">
        <w:lastRenderedPageBreak/>
        <w:t>ECV Product:</w:t>
      </w:r>
      <w:r w:rsidR="00D03D71">
        <w:t xml:space="preserve"> </w:t>
      </w:r>
      <w:sdt>
        <w:sdtPr>
          <w:id w:val="1307518281"/>
          <w:placeholder>
            <w:docPart w:val="0F33D853C9184F02A6C7ACEC3F269683"/>
          </w:placeholder>
        </w:sdtPr>
        <w:sdtContent>
          <w:r w:rsidR="0099587C">
            <w:t xml:space="preserve">Total </w:t>
          </w:r>
          <w:r w:rsidR="0099587C" w:rsidRPr="0099587C">
            <w:t xml:space="preserve">Estimated fluxes by coupled data assimilation/ models with observed atmospheric - </w:t>
          </w:r>
          <w:r w:rsidR="0099587C">
            <w:t xml:space="preserve">   </w:t>
          </w:r>
          <w:r w:rsidR="0099587C" w:rsidRPr="0099587C">
            <w:t>continental</w:t>
          </w:r>
        </w:sdtContent>
      </w:sdt>
    </w:p>
    <w:tbl>
      <w:tblPr>
        <w:tblW w:w="0" w:type="auto"/>
        <w:shd w:val="clear" w:color="auto" w:fill="FFFFFF"/>
        <w:tblCellMar>
          <w:left w:w="0" w:type="dxa"/>
          <w:right w:w="0" w:type="dxa"/>
        </w:tblCellMar>
        <w:tblLook w:val="04A0" w:firstRow="1" w:lastRow="0" w:firstColumn="1" w:lastColumn="0" w:noHBand="0" w:noVBand="1"/>
      </w:tblPr>
      <w:tblGrid>
        <w:gridCol w:w="1155"/>
        <w:gridCol w:w="982"/>
        <w:gridCol w:w="1367"/>
        <w:gridCol w:w="401"/>
        <w:gridCol w:w="837"/>
        <w:gridCol w:w="5816"/>
      </w:tblGrid>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9320"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Estimated fluxes by coupled data assimilation/ models with observed atmospheric - continental</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9320"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xml:space="preserve">GHG emission </w:t>
            </w:r>
            <w:proofErr w:type="spellStart"/>
            <w:r>
              <w:rPr>
                <w:color w:val="222222"/>
                <w:sz w:val="16"/>
                <w:szCs w:val="16"/>
                <w:bdr w:val="none" w:sz="0" w:space="0" w:color="auto" w:frame="1"/>
              </w:rPr>
              <w:t>gridmaps</w:t>
            </w:r>
            <w:proofErr w:type="spellEnd"/>
            <w:r>
              <w:rPr>
                <w:color w:val="222222"/>
                <w:sz w:val="16"/>
                <w:szCs w:val="16"/>
                <w:bdr w:val="none" w:sz="0" w:space="0" w:color="auto" w:frame="1"/>
              </w:rPr>
              <w:t xml:space="preserve"> (modelled output, using proxy for the spatial distribution)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9320"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kg CO2eq /km</w:t>
            </w:r>
            <w:r>
              <w:rPr>
                <w:color w:val="222222"/>
                <w:sz w:val="16"/>
                <w:szCs w:val="16"/>
                <w:bdr w:val="none" w:sz="0" w:space="0" w:color="auto" w:frame="1"/>
                <w:vertAlign w:val="superscript"/>
              </w:rPr>
              <w:t>2</w:t>
            </w:r>
            <w:r>
              <w:rPr>
                <w:color w:val="222222"/>
                <w:sz w:val="16"/>
                <w:szCs w:val="16"/>
                <w:bdr w:val="none" w:sz="0" w:space="0" w:color="auto" w:frame="1"/>
              </w:rPr>
              <w:t> /</w:t>
            </w:r>
            <w:proofErr w:type="spellStart"/>
            <w:r>
              <w:rPr>
                <w:color w:val="222222"/>
                <w:sz w:val="16"/>
                <w:szCs w:val="16"/>
                <w:bdr w:val="none" w:sz="0" w:space="0" w:color="auto" w:frame="1"/>
              </w:rPr>
              <w:t>yr</w:t>
            </w:r>
            <w:proofErr w:type="spellEnd"/>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9320"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Total estimated fluxes by coupled data assimilation/ inverse models at a continental scale. This includes both “anthropogenic” and “natural” emissions and removals.</w:t>
            </w:r>
          </w:p>
        </w:tc>
      </w:tr>
      <w:tr w:rsidR="0099587C" w:rsidTr="0099587C">
        <w:tc>
          <w:tcPr>
            <w:tcW w:w="10457"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982"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136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318"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83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5816"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982"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km</w:t>
            </w:r>
          </w:p>
        </w:tc>
        <w:tc>
          <w:tcPr>
            <w:tcW w:w="136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Size of continents</w:t>
            </w: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1000</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10000</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982"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136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982"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36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982"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36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 allow comparison with estimates made following the UNFCCC Inventory Reporting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 allow comparison with estimates made following the UNFCCC Inventory Reporting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982"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136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w:t>
            </w: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10%</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25%</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982"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136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581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9320"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Maps for modeling NDC/ in particular adaptation effects</w:t>
            </w:r>
          </w:p>
        </w:tc>
      </w:tr>
      <w:tr w:rsidR="0099587C" w:rsidTr="0099587C">
        <w:tc>
          <w:tcPr>
            <w:tcW w:w="10457"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 </w:t>
            </w:r>
          </w:p>
        </w:tc>
        <w:tc>
          <w:tcPr>
            <w:tcW w:w="982"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Relevant? (Yes/No)</w:t>
            </w:r>
          </w:p>
        </w:tc>
        <w:tc>
          <w:tcPr>
            <w:tcW w:w="1367"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6971"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Explanation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98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136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6971"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Allows confirmation that the atmospheric inputs of CO</w:t>
            </w:r>
            <w:r>
              <w:rPr>
                <w:color w:val="222222"/>
                <w:sz w:val="16"/>
                <w:szCs w:val="16"/>
                <w:bdr w:val="none" w:sz="0" w:space="0" w:color="auto" w:frame="1"/>
                <w:vertAlign w:val="subscript"/>
              </w:rPr>
              <w:t>2</w:t>
            </w:r>
            <w:r>
              <w:rPr>
                <w:color w:val="222222"/>
                <w:sz w:val="16"/>
                <w:szCs w:val="16"/>
                <w:bdr w:val="none" w:sz="0" w:space="0" w:color="auto" w:frame="1"/>
              </w:rPr>
              <w:t> are as expected by national plans for mitigation and adaptation</w:t>
            </w:r>
          </w:p>
        </w:tc>
      </w:tr>
      <w:tr w:rsidR="0099587C" w:rsidTr="0099587C">
        <w:trPr>
          <w:trHeight w:val="266"/>
        </w:trPr>
        <w:tc>
          <w:tcPr>
            <w:tcW w:w="1137"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98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136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6971"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2" w:name="5d243373-4411-424b-9130-5a033a2c5dba@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B5791B">
        <w:trPr>
          <w:trHeight w:val="340"/>
        </w:trPr>
        <w:tc>
          <w:tcPr>
            <w:tcW w:w="2441" w:type="pct"/>
            <w:vAlign w:val="center"/>
          </w:tcPr>
          <w:p w:rsidR="00345D91" w:rsidRPr="00215C42" w:rsidRDefault="00345D91" w:rsidP="00B5791B">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howingPlcHdr/>
              </w:sdtPr>
              <w:sdtContent>
                <w:r w:rsidRPr="00697ACC">
                  <w:rPr>
                    <w:rStyle w:val="PlaceholderText"/>
                  </w:rPr>
                  <w:t>Click here to enter text.</w:t>
                </w:r>
              </w:sdtContent>
            </w:sdt>
          </w:p>
        </w:tc>
        <w:tc>
          <w:tcPr>
            <w:tcW w:w="2559" w:type="pct"/>
            <w:vAlign w:val="center"/>
          </w:tcPr>
          <w:p w:rsidR="00345D91" w:rsidRPr="00E80C12" w:rsidRDefault="00345D91" w:rsidP="00B5791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howingPlcHdr/>
              </w:sdtPr>
              <w:sdtContent>
                <w:r w:rsidRPr="00697ACC">
                  <w:rPr>
                    <w:rStyle w:val="PlaceholderText"/>
                  </w:rPr>
                  <w:t>Click here to enter text.</w:t>
                </w:r>
              </w:sdtContent>
            </w:sdt>
          </w:p>
        </w:tc>
      </w:tr>
      <w:tr w:rsidR="00345D91" w:rsidTr="00B5791B">
        <w:tc>
          <w:tcPr>
            <w:tcW w:w="5000" w:type="pct"/>
            <w:gridSpan w:val="2"/>
          </w:tcPr>
          <w:sdt>
            <w:sdtPr>
              <w:id w:val="-1929568861"/>
              <w:placeholder>
                <w:docPart w:val="8A385AF584D74AD3AF328DC0053C2605"/>
              </w:placeholder>
            </w:sdtPr>
            <w:sdtContent>
              <w:p w:rsidR="0099587C" w:rsidRPr="0099587C" w:rsidRDefault="0099587C" w:rsidP="0099587C">
                <w:pPr>
                  <w:pStyle w:val="ListParagraph"/>
                  <w:numPr>
                    <w:ilvl w:val="0"/>
                    <w:numId w:val="5"/>
                  </w:numPr>
                  <w:shd w:val="clear" w:color="auto" w:fill="FFFFFF"/>
                </w:pPr>
                <w:r>
                  <w:t>U</w:t>
                </w:r>
                <w:r w:rsidRPr="0099587C">
                  <w:rPr>
                    <w:sz w:val="20"/>
                    <w:szCs w:val="20"/>
                  </w:rPr>
                  <w:t>pdate reference IPCC 2006 GL by the 2019 refinement https://www.ipcc-nggip.iges.or.jp/public/2019rf/index.html; make reference in particular to Volume I, Chapter 6.10.2 Comparisons with atmospheric measurements</w:t>
                </w:r>
              </w:p>
              <w:p w:rsidR="0099587C" w:rsidRDefault="0099587C" w:rsidP="0099587C">
                <w:pPr>
                  <w:pStyle w:val="ListParagraph"/>
                  <w:numPr>
                    <w:ilvl w:val="0"/>
                    <w:numId w:val="5"/>
                  </w:numPr>
                  <w:shd w:val="clear" w:color="auto" w:fill="FFFFFF"/>
                </w:pPr>
                <w:r>
                  <w:t>A</w:t>
                </w:r>
                <w:r w:rsidRPr="0099587C">
                  <w:t>dd reference to GAW Report No. 245, An Integrated Global Greenhouse Gas Information System (IG3IS) Science Implementation Plan</w:t>
                </w:r>
              </w:p>
              <w:p w:rsidR="0099587C" w:rsidRDefault="0099587C" w:rsidP="0099587C">
                <w:pPr>
                  <w:pStyle w:val="ListParagraph"/>
                  <w:numPr>
                    <w:ilvl w:val="0"/>
                    <w:numId w:val="5"/>
                  </w:numPr>
                  <w:shd w:val="clear" w:color="auto" w:fill="FFFFFF"/>
                </w:pPr>
                <w:r>
                  <w:t>Reword explanation for adaption that it reads</w:t>
                </w:r>
              </w:p>
              <w:p w:rsidR="0099587C" w:rsidRDefault="0099587C" w:rsidP="0099587C">
                <w:pPr>
                  <w:pStyle w:val="ListParagraph"/>
                  <w:shd w:val="clear" w:color="auto" w:fill="FFFFFF"/>
                </w:pPr>
                <w:r>
                  <w:t>"Provides information to support uncertainty reduction of GHG emission estimates in national plans for mitigation and adaptation.</w:t>
                </w:r>
              </w:p>
            </w:sdtContent>
          </w:sdt>
          <w:p w:rsidR="00345D91" w:rsidRPr="0099587C" w:rsidRDefault="00345D91" w:rsidP="0099587C">
            <w:pPr>
              <w:shd w:val="clear" w:color="auto" w:fill="FFFFFF"/>
              <w:rPr>
                <w:sz w:val="20"/>
                <w:szCs w:val="20"/>
              </w:rPr>
            </w:pPr>
          </w:p>
        </w:tc>
      </w:tr>
    </w:tbl>
    <w:p w:rsidR="003E2CE8" w:rsidRDefault="003E2CE8" w:rsidP="003E2CE8">
      <w:r>
        <w:br w:type="page"/>
      </w:r>
    </w:p>
    <w:p w:rsidR="003E2CE8" w:rsidRDefault="000251F0" w:rsidP="0099587C">
      <w:pPr>
        <w:pStyle w:val="Heading2"/>
      </w:pPr>
      <w:r w:rsidRPr="009029F2">
        <w:lastRenderedPageBreak/>
        <w:t xml:space="preserve">ECV Product: </w:t>
      </w:r>
      <w:sdt>
        <w:sdtPr>
          <w:id w:val="506174734"/>
          <w:placeholder>
            <w:docPart w:val="DefaultPlaceholder_1082065158"/>
          </w:placeholder>
        </w:sdtPr>
        <w:sdtContent>
          <w:r w:rsidR="0099587C" w:rsidRPr="0099587C">
            <w:t>Anthropogenic F-gas emissions from industrial processes and product use</w:t>
          </w:r>
        </w:sdtContent>
      </w:sdt>
    </w:p>
    <w:tbl>
      <w:tblPr>
        <w:tblW w:w="5000" w:type="pct"/>
        <w:shd w:val="clear" w:color="auto" w:fill="FFFFFF"/>
        <w:tblCellMar>
          <w:left w:w="0" w:type="dxa"/>
          <w:right w:w="0" w:type="dxa"/>
        </w:tblCellMar>
        <w:tblLook w:val="04A0" w:firstRow="1" w:lastRow="0" w:firstColumn="1" w:lastColumn="0" w:noHBand="0" w:noVBand="1"/>
      </w:tblPr>
      <w:tblGrid>
        <w:gridCol w:w="1206"/>
        <w:gridCol w:w="1024"/>
        <w:gridCol w:w="1425"/>
        <w:gridCol w:w="419"/>
        <w:gridCol w:w="1985"/>
        <w:gridCol w:w="4957"/>
      </w:tblGrid>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F-gas emissions from industrial processes and product use</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F-Gas emissions are anthropogenic and mainly originating from chemical industrial processes and F-gas-related product use. The different F-gases have different, all very high global warming potentials.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ton CO2eq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for the region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This corresponds to UNFCCC reporting of anthropogenic emissions of fluorinated gases (HFC, PFC and SF</w:t>
            </w:r>
            <w:r>
              <w:rPr>
                <w:color w:val="222222"/>
                <w:sz w:val="16"/>
                <w:szCs w:val="16"/>
                <w:bdr w:val="none" w:sz="0" w:space="0" w:color="auto" w:frame="1"/>
                <w:vertAlign w:val="subscript"/>
              </w:rPr>
              <w:t>6</w:t>
            </w:r>
            <w:r>
              <w:rPr>
                <w:color w:val="222222"/>
                <w:sz w:val="16"/>
                <w:szCs w:val="16"/>
                <w:bdr w:val="none" w:sz="0" w:space="0" w:color="auto" w:frame="1"/>
              </w:rPr>
              <w:t>) aggregated according to the GWP as agreed by the UNFCCC</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4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64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90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225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Nation</w:t>
            </w:r>
          </w:p>
        </w:tc>
        <w:tc>
          <w:tcPr>
            <w:tcW w:w="64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Country by country</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64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Not relevant</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4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4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46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64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10%</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50%</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46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64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Follow times series consistency in 2006 GLs and 2019 Refinement</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9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5"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47"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9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2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(Optional: 2019 Refinement of the GL; National inventory reports to UNFCCC)</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 </w:t>
            </w:r>
          </w:p>
        </w:tc>
        <w:tc>
          <w:tcPr>
            <w:tcW w:w="46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Relevant? (Yes/No)</w:t>
            </w:r>
          </w:p>
        </w:tc>
        <w:tc>
          <w:tcPr>
            <w:tcW w:w="64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Explanation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4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64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33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Measure of impact of adaptation on national emissions.</w:t>
            </w:r>
          </w:p>
        </w:tc>
      </w:tr>
      <w:tr w:rsidR="0099587C" w:rsidTr="0099587C">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4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64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33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28" style="width:7.65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3" w:name="af2ae5cd-7cbb-4e8b-aae7-6e7da5f77b73@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Default="0099587C" w:rsidP="00841F0F">
      <w:r>
        <w:t>NO COMMENT</w:t>
      </w:r>
    </w:p>
    <w:p w:rsidR="00841F0F" w:rsidRDefault="00841F0F" w:rsidP="00841F0F">
      <w:r>
        <w:br w:type="page"/>
      </w:r>
    </w:p>
    <w:p w:rsidR="00841F0F" w:rsidRDefault="000251F0" w:rsidP="0099587C">
      <w:pPr>
        <w:pStyle w:val="Heading2"/>
      </w:pPr>
      <w:r w:rsidRPr="009029F2">
        <w:lastRenderedPageBreak/>
        <w:t xml:space="preserve">ECV Product: </w:t>
      </w:r>
      <w:sdt>
        <w:sdtPr>
          <w:id w:val="146641108"/>
          <w:placeholder>
            <w:docPart w:val="DefaultPlaceholder_1082065158"/>
          </w:placeholder>
        </w:sdtPr>
        <w:sdtContent>
          <w:r w:rsidR="0099587C" w:rsidRPr="0099587C">
            <w:t>Anthropogenic N2O emissions from fossil fuel use, industry, agriculture, waste and products use, indirect from n-related emissions/ depositions</w:t>
          </w:r>
        </w:sdtContent>
      </w:sdt>
    </w:p>
    <w:tbl>
      <w:tblPr>
        <w:tblW w:w="5000" w:type="pct"/>
        <w:shd w:val="clear" w:color="auto" w:fill="FFFFFF"/>
        <w:tblCellMar>
          <w:left w:w="0" w:type="dxa"/>
          <w:right w:w="0" w:type="dxa"/>
        </w:tblCellMar>
        <w:tblLook w:val="04A0" w:firstRow="1" w:lastRow="0" w:firstColumn="1" w:lastColumn="0" w:noHBand="0" w:noVBand="1"/>
      </w:tblPr>
      <w:tblGrid>
        <w:gridCol w:w="1204"/>
        <w:gridCol w:w="1016"/>
        <w:gridCol w:w="1395"/>
        <w:gridCol w:w="419"/>
        <w:gridCol w:w="1882"/>
        <w:gridCol w:w="5100"/>
      </w:tblGrid>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w:t>
            </w:r>
            <w:r>
              <w:rPr>
                <w:color w:val="222222"/>
                <w:sz w:val="16"/>
                <w:szCs w:val="16"/>
                <w:bdr w:val="none" w:sz="0" w:space="0" w:color="auto" w:frame="1"/>
                <w:vertAlign w:val="subscript"/>
              </w:rPr>
              <w:t>2</w:t>
            </w:r>
            <w:r>
              <w:rPr>
                <w:color w:val="222222"/>
                <w:sz w:val="16"/>
                <w:szCs w:val="16"/>
                <w:bdr w:val="none" w:sz="0" w:space="0" w:color="auto" w:frame="1"/>
              </w:rPr>
              <w:t>O emissions from fossil fuel use, industry, agriculture, waste and products use, indirect from n-related emissions/ depositions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Anthropogenic N</w:t>
            </w:r>
            <w:r>
              <w:rPr>
                <w:color w:val="222222"/>
                <w:sz w:val="16"/>
                <w:szCs w:val="16"/>
                <w:bdr w:val="none" w:sz="0" w:space="0" w:color="auto" w:frame="1"/>
                <w:vertAlign w:val="subscript"/>
              </w:rPr>
              <w:t>2</w:t>
            </w:r>
            <w:r>
              <w:rPr>
                <w:color w:val="222222"/>
                <w:sz w:val="16"/>
                <w:szCs w:val="16"/>
                <w:bdr w:val="none" w:sz="0" w:space="0" w:color="auto" w:frame="1"/>
              </w:rPr>
              <w:t>O emissions are mainly originating from fuel combustion, industry, agriculture, waste, products use (including  indirect emissions from leaching and run-off, from NOx emissions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ton N2O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for the region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This corresponds to UNFCCC reporting of anthropogenic emissions of nitrous oxide</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4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63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8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231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Nation</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Country by country</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Not relevant</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40%</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80%</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Follow times series consistency in 2006 GLs and 2019 Refinement</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8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8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3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(Optional: 2019 Refinement of the GL; National inventory reports to UNFCCC)</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 </w:t>
            </w:r>
          </w:p>
        </w:tc>
        <w:tc>
          <w:tcPr>
            <w:tcW w:w="46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Relevant? (Yes/No)</w:t>
            </w:r>
          </w:p>
        </w:tc>
        <w:tc>
          <w:tcPr>
            <w:tcW w:w="63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5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Explanation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4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63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335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Measure of impact of adaptation on national emissions.</w:t>
            </w:r>
          </w:p>
        </w:tc>
      </w:tr>
      <w:tr w:rsidR="0099587C" w:rsidTr="0099587C">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63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335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4" w:name="ae6970b0-2ea5-4743-b378-fa81b72ebc3e@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99587C" w:rsidRDefault="0099587C" w:rsidP="00345D91">
      <w:r>
        <w:t>NO COMMENT</w:t>
      </w:r>
    </w:p>
    <w:p w:rsidR="00345D91" w:rsidRDefault="00345D91" w:rsidP="00345D91">
      <w:r>
        <w:br w:type="page"/>
      </w:r>
    </w:p>
    <w:p w:rsidR="008F7682" w:rsidRDefault="000251F0" w:rsidP="0099587C">
      <w:pPr>
        <w:pStyle w:val="Heading2"/>
      </w:pPr>
      <w:r w:rsidRPr="009029F2">
        <w:lastRenderedPageBreak/>
        <w:t xml:space="preserve">ECV Product: </w:t>
      </w:r>
      <w:sdt>
        <w:sdtPr>
          <w:id w:val="639702105"/>
          <w:placeholder>
            <w:docPart w:val="DefaultPlaceholder_1082065158"/>
          </w:placeholder>
        </w:sdtPr>
        <w:sdtContent>
          <w:r w:rsidR="0099587C" w:rsidRPr="0099587C">
            <w:t>Anthropogenic CH4 emissions from fossil fuel, waste, agriculture, industrial processes and fuel use</w:t>
          </w:r>
        </w:sdtContent>
      </w:sdt>
    </w:p>
    <w:tbl>
      <w:tblPr>
        <w:tblW w:w="0" w:type="auto"/>
        <w:shd w:val="clear" w:color="auto" w:fill="FFFFFF"/>
        <w:tblCellMar>
          <w:left w:w="0" w:type="dxa"/>
          <w:right w:w="0" w:type="dxa"/>
        </w:tblCellMar>
        <w:tblLook w:val="04A0" w:firstRow="1" w:lastRow="0" w:firstColumn="1" w:lastColumn="0" w:noHBand="0" w:noVBand="1"/>
      </w:tblPr>
      <w:tblGrid>
        <w:gridCol w:w="1155"/>
        <w:gridCol w:w="974"/>
        <w:gridCol w:w="1337"/>
        <w:gridCol w:w="401"/>
        <w:gridCol w:w="1805"/>
        <w:gridCol w:w="4887"/>
      </w:tblGrid>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9320"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CH</w:t>
            </w:r>
            <w:r>
              <w:rPr>
                <w:color w:val="222222"/>
                <w:sz w:val="16"/>
                <w:szCs w:val="16"/>
                <w:bdr w:val="none" w:sz="0" w:space="0" w:color="auto" w:frame="1"/>
                <w:vertAlign w:val="subscript"/>
              </w:rPr>
              <w:t>4</w:t>
            </w:r>
            <w:r>
              <w:rPr>
                <w:color w:val="222222"/>
                <w:sz w:val="16"/>
                <w:szCs w:val="16"/>
                <w:bdr w:val="none" w:sz="0" w:space="0" w:color="auto" w:frame="1"/>
              </w:rPr>
              <w:t> emissions from fossil fuel, waste, agriculture, industrial processes and fuel use</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9320"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Anthropogenic CH</w:t>
            </w:r>
            <w:r>
              <w:rPr>
                <w:color w:val="222222"/>
                <w:sz w:val="16"/>
                <w:szCs w:val="16"/>
                <w:bdr w:val="none" w:sz="0" w:space="0" w:color="auto" w:frame="1"/>
                <w:vertAlign w:val="subscript"/>
              </w:rPr>
              <w:t>4</w:t>
            </w:r>
            <w:r>
              <w:rPr>
                <w:color w:val="222222"/>
                <w:sz w:val="16"/>
                <w:szCs w:val="16"/>
                <w:bdr w:val="none" w:sz="0" w:space="0" w:color="auto" w:frame="1"/>
              </w:rPr>
              <w:t> emissions are mainly originating from fermentation processes in waste (landfills), manure, enteric fermentation, but also from fossil fuel extraction, transmission and distribution and use, and industrial processes.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9320"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ton CH4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for the region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9320"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This corresponds to UNFCCC reporting of anthropogenic emissions of methane, except from wetlands</w:t>
            </w:r>
          </w:p>
        </w:tc>
      </w:tr>
      <w:tr w:rsidR="0099587C" w:rsidTr="0099587C">
        <w:tc>
          <w:tcPr>
            <w:tcW w:w="10457"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974"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133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1805"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488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97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Nation</w:t>
            </w:r>
          </w:p>
        </w:tc>
        <w:tc>
          <w:tcPr>
            <w:tcW w:w="133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Country by country</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97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133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Not relevant</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97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33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97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33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97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1337"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20%</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40%</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97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1337"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Follow times series consistency in 2006 GLs and 2019 Refinement</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80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80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88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9320"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(Optional: 2019 Refinement of the GL; National inventory reports to UNFCCC)</w:t>
            </w:r>
          </w:p>
        </w:tc>
      </w:tr>
      <w:tr w:rsidR="0099587C" w:rsidTr="0099587C">
        <w:tc>
          <w:tcPr>
            <w:tcW w:w="10457"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 </w:t>
            </w:r>
          </w:p>
        </w:tc>
        <w:tc>
          <w:tcPr>
            <w:tcW w:w="974"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Relevant? (Yes/No)</w:t>
            </w:r>
          </w:p>
        </w:tc>
        <w:tc>
          <w:tcPr>
            <w:tcW w:w="1337"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7009"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lastRenderedPageBreak/>
              <w:t>Explanation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97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133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7009"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Measure of impact of adaptation on national emissions.</w:t>
            </w:r>
          </w:p>
        </w:tc>
      </w:tr>
      <w:tr w:rsidR="0099587C" w:rsidTr="0099587C">
        <w:trPr>
          <w:trHeight w:val="266"/>
        </w:trPr>
        <w:tc>
          <w:tcPr>
            <w:tcW w:w="1137"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97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133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7009"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30" style="width:178.2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5"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5" w:name="309734e9-f11a-4940-b7e2-b51e38985c67@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8F7682">
      <w:pPr>
        <w:rPr>
          <w:b/>
          <w:bCs/>
          <w:shd w:val="pct15" w:color="auto" w:fill="FFFFFF"/>
        </w:rPr>
      </w:pPr>
    </w:p>
    <w:p w:rsidR="0099587C" w:rsidRPr="0099587C" w:rsidRDefault="0099587C" w:rsidP="008F7682">
      <w:r w:rsidRPr="0099587C">
        <w:rPr>
          <w:bCs/>
          <w:shd w:val="pct15" w:color="auto" w:fill="FFFFFF"/>
        </w:rPr>
        <w:t>NO COMMENT</w:t>
      </w:r>
    </w:p>
    <w:p w:rsidR="008F7682" w:rsidRDefault="008F7682" w:rsidP="008F7682">
      <w:pPr>
        <w:rPr>
          <w:shd w:val="pct15" w:color="auto" w:fill="FFFFFF"/>
        </w:rPr>
      </w:pPr>
      <w:r>
        <w:br w:type="page"/>
      </w:r>
    </w:p>
    <w:p w:rsidR="00F07CBB" w:rsidRDefault="00F07CBB" w:rsidP="0099587C">
      <w:pPr>
        <w:pStyle w:val="Heading2"/>
      </w:pPr>
      <w:r w:rsidRPr="009029F2">
        <w:lastRenderedPageBreak/>
        <w:t xml:space="preserve">ECV Product: </w:t>
      </w:r>
      <w:sdt>
        <w:sdtPr>
          <w:id w:val="1057670354"/>
          <w:placeholder>
            <w:docPart w:val="0A667A0D92734D1E8A4F7CACBFF79499"/>
          </w:placeholder>
        </w:sdtPr>
        <w:sdtContent>
          <w:r w:rsidR="0099587C" w:rsidRPr="0099587C">
            <w:t>Anthropogenic CO2 emissions/ removals by land categories</w:t>
          </w:r>
        </w:sdtContent>
      </w:sdt>
    </w:p>
    <w:tbl>
      <w:tblPr>
        <w:tblW w:w="5000" w:type="pct"/>
        <w:shd w:val="clear" w:color="auto" w:fill="FFFFFF"/>
        <w:tblCellMar>
          <w:left w:w="0" w:type="dxa"/>
          <w:right w:w="0" w:type="dxa"/>
        </w:tblCellMar>
        <w:tblLook w:val="04A0" w:firstRow="1" w:lastRow="0" w:firstColumn="1" w:lastColumn="0" w:noHBand="0" w:noVBand="1"/>
      </w:tblPr>
      <w:tblGrid>
        <w:gridCol w:w="1205"/>
        <w:gridCol w:w="1016"/>
        <w:gridCol w:w="1392"/>
        <w:gridCol w:w="419"/>
        <w:gridCol w:w="2324"/>
        <w:gridCol w:w="4660"/>
      </w:tblGrid>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445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CO</w:t>
            </w:r>
            <w:r>
              <w:rPr>
                <w:color w:val="222222"/>
                <w:sz w:val="16"/>
                <w:szCs w:val="16"/>
                <w:bdr w:val="none" w:sz="0" w:space="0" w:color="auto" w:frame="1"/>
                <w:vertAlign w:val="subscript"/>
              </w:rPr>
              <w:t>2</w:t>
            </w:r>
            <w:r>
              <w:rPr>
                <w:color w:val="222222"/>
                <w:sz w:val="16"/>
                <w:szCs w:val="16"/>
                <w:bdr w:val="none" w:sz="0" w:space="0" w:color="auto" w:frame="1"/>
              </w:rPr>
              <w:t> emissions/ removals by land categories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Short and long cycle C emissions from land use, land-use and forestry (including carbon stock gains and losses of biomass burning, disease, harvest, net deforestation)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ton CO2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for the region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445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This corresponds to UNFCCC reporting of anthropogenic emissions and removals from LULUCF</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46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63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1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105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21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NONE – BY COUNTRY</w:t>
            </w:r>
          </w:p>
        </w:tc>
        <w:tc>
          <w:tcPr>
            <w:tcW w:w="63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As defined by UNFCCC</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country/region</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country/region</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63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Not relevant</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Not relevant</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3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63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ONE 1.25 YEARS</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46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xml:space="preserve">% or </w:t>
            </w:r>
            <w:proofErr w:type="spellStart"/>
            <w:r>
              <w:rPr>
                <w:color w:val="222222"/>
                <w:sz w:val="16"/>
                <w:szCs w:val="16"/>
                <w:bdr w:val="none" w:sz="0" w:space="0" w:color="auto" w:frame="1"/>
              </w:rPr>
              <w:t>kT</w:t>
            </w:r>
            <w:proofErr w:type="spellEnd"/>
          </w:p>
        </w:tc>
        <w:tc>
          <w:tcPr>
            <w:tcW w:w="63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 </w:t>
            </w:r>
            <w:r>
              <w:rPr>
                <w:b/>
                <w:bCs/>
                <w:color w:val="222222"/>
                <w:sz w:val="16"/>
                <w:szCs w:val="16"/>
                <w:bdr w:val="none" w:sz="0" w:space="0" w:color="auto" w:frame="1"/>
              </w:rPr>
              <w:t>or</w:t>
            </w:r>
            <w:r>
              <w:rPr>
                <w:color w:val="222222"/>
                <w:sz w:val="16"/>
                <w:szCs w:val="16"/>
                <w:bdr w:val="none" w:sz="0" w:space="0" w:color="auto" w:frame="1"/>
              </w:rPr>
              <w:t> mass of CO</w:t>
            </w:r>
            <w:r>
              <w:rPr>
                <w:color w:val="222222"/>
                <w:sz w:val="16"/>
                <w:szCs w:val="16"/>
                <w:bdr w:val="none" w:sz="0" w:space="0" w:color="auto" w:frame="1"/>
                <w:vertAlign w:val="subscript"/>
              </w:rPr>
              <w:t>2</w:t>
            </w: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15% or 300kT – whichever is largest</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20% or 400kT – whichever is largest.</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54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46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63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105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547" w:type="pct"/>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461"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632" w:type="pct"/>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1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105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21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445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rFonts w:ascii="Times New Roman" w:hAnsi="Times New Roman" w:cs="Times New Roman"/>
                <w:color w:val="222222"/>
                <w:sz w:val="24"/>
                <w:szCs w:val="24"/>
              </w:rPr>
            </w:pPr>
            <w:r>
              <w:rPr>
                <w:color w:val="222222"/>
                <w:sz w:val="16"/>
                <w:szCs w:val="16"/>
                <w:bdr w:val="none" w:sz="0" w:space="0" w:color="auto" w:frame="1"/>
              </w:rPr>
              <w:t>IPCC 2003 GPG, IPCC 2006 GL;</w:t>
            </w:r>
          </w:p>
          <w:p w:rsidR="0099587C" w:rsidRDefault="0099587C">
            <w:pPr>
              <w:rPr>
                <w:color w:val="222222"/>
                <w:sz w:val="24"/>
                <w:szCs w:val="24"/>
              </w:rPr>
            </w:pPr>
            <w:r>
              <w:rPr>
                <w:color w:val="222222"/>
                <w:sz w:val="16"/>
                <w:szCs w:val="16"/>
                <w:bdr w:val="none" w:sz="0" w:space="0" w:color="auto" w:frame="1"/>
              </w:rPr>
              <w:t>UNFCCC National Inventory Reports</w:t>
            </w:r>
          </w:p>
        </w:tc>
      </w:tr>
      <w:tr w:rsidR="0099587C" w:rsidTr="0099587C">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 </w:t>
            </w:r>
          </w:p>
        </w:tc>
        <w:tc>
          <w:tcPr>
            <w:tcW w:w="46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Relevant? (Yes/No)</w:t>
            </w:r>
          </w:p>
        </w:tc>
        <w:tc>
          <w:tcPr>
            <w:tcW w:w="63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36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Explanation</w:t>
            </w:r>
          </w:p>
        </w:tc>
      </w:tr>
      <w:tr w:rsidR="0099587C" w:rsidTr="0099587C">
        <w:tc>
          <w:tcPr>
            <w:tcW w:w="54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46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6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336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Sufficient at national level – projects need higher resolution e.g. 30x30m</w:t>
            </w:r>
          </w:p>
        </w:tc>
      </w:tr>
      <w:tr w:rsidR="0099587C" w:rsidTr="0099587C">
        <w:trPr>
          <w:trHeight w:val="266"/>
        </w:trPr>
        <w:tc>
          <w:tcPr>
            <w:tcW w:w="54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46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6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36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6"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6" w:name="972443be-d9db-4991-af07-633d901f429b@wmo"/>
      <w:r>
        <w:rPr>
          <w:rFonts w:ascii="Calibri" w:hAnsi="Calibri" w:cs="Arial"/>
          <w:color w:val="1155CC"/>
          <w:sz w:val="20"/>
          <w:szCs w:val="20"/>
          <w:bdr w:val="none" w:sz="0" w:space="0" w:color="auto" w:frame="1"/>
          <w:lang w:val="en-US"/>
        </w:rPr>
        <w:t>[3]</w:t>
      </w:r>
      <w:bookmarkEnd w:id="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Default="00F07CBB" w:rsidP="00F07CBB">
      <w:pPr>
        <w:pStyle w:val="WMOBodyText"/>
        <w:rPr>
          <w:lang w:val="en-US"/>
        </w:rPr>
      </w:pPr>
    </w:p>
    <w:p w:rsidR="0099587C" w:rsidRDefault="0099587C" w:rsidP="00F07CBB">
      <w:pPr>
        <w:pStyle w:val="WMOBodyText"/>
        <w:rPr>
          <w:lang w:val="en-US"/>
        </w:rPr>
      </w:pPr>
      <w:r>
        <w:rPr>
          <w:lang w:val="en-US"/>
        </w:rPr>
        <w:t>NO COMMENT</w:t>
      </w:r>
    </w:p>
    <w:p w:rsidR="0099587C" w:rsidRDefault="0099587C" w:rsidP="0099587C">
      <w:pPr>
        <w:rPr>
          <w:rFonts w:ascii="Arial" w:eastAsia="Arial" w:hAnsi="Arial" w:cs="Arial"/>
          <w:color w:val="000000" w:themeColor="text1"/>
          <w:lang w:eastAsia="en-US"/>
        </w:rPr>
      </w:pPr>
      <w:r>
        <w:br w:type="page"/>
      </w:r>
    </w:p>
    <w:p w:rsidR="0099587C" w:rsidRDefault="0099587C" w:rsidP="00AF2D98">
      <w:pPr>
        <w:pStyle w:val="Heading2"/>
      </w:pPr>
      <w:r w:rsidRPr="009029F2">
        <w:lastRenderedPageBreak/>
        <w:t xml:space="preserve">ECV Product: </w:t>
      </w:r>
      <w:sdt>
        <w:sdtPr>
          <w:id w:val="177943956"/>
          <w:placeholder>
            <w:docPart w:val="F727F80E020044E7B692E09EA6CAA4DD"/>
          </w:placeholder>
        </w:sdtPr>
        <w:sdtContent>
          <w:r w:rsidR="00AF2D98" w:rsidRPr="00AF2D98">
            <w:t>Anthropogenic CO2 emissions from fossil fuel use, industry, agriculture, waste and products us</w:t>
          </w:r>
          <w:r w:rsidR="00AF2D98">
            <w:t>e</w:t>
          </w:r>
        </w:sdtContent>
      </w:sdt>
    </w:p>
    <w:tbl>
      <w:tblPr>
        <w:tblW w:w="0" w:type="auto"/>
        <w:shd w:val="clear" w:color="auto" w:fill="FFFFFF"/>
        <w:tblCellMar>
          <w:left w:w="0" w:type="dxa"/>
          <w:right w:w="0" w:type="dxa"/>
        </w:tblCellMar>
        <w:tblLook w:val="04A0" w:firstRow="1" w:lastRow="0" w:firstColumn="1" w:lastColumn="0" w:noHBand="0" w:noVBand="1"/>
      </w:tblPr>
      <w:tblGrid>
        <w:gridCol w:w="1155"/>
        <w:gridCol w:w="984"/>
        <w:gridCol w:w="1104"/>
        <w:gridCol w:w="401"/>
        <w:gridCol w:w="2803"/>
        <w:gridCol w:w="4338"/>
      </w:tblGrid>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Name</w:t>
            </w:r>
          </w:p>
        </w:tc>
        <w:tc>
          <w:tcPr>
            <w:tcW w:w="9546"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CO</w:t>
            </w:r>
            <w:r>
              <w:rPr>
                <w:color w:val="222222"/>
                <w:sz w:val="16"/>
                <w:szCs w:val="16"/>
                <w:bdr w:val="none" w:sz="0" w:space="0" w:color="auto" w:frame="1"/>
                <w:vertAlign w:val="subscript"/>
              </w:rPr>
              <w:t>2 </w:t>
            </w:r>
            <w:r>
              <w:rPr>
                <w:color w:val="222222"/>
                <w:sz w:val="16"/>
                <w:szCs w:val="16"/>
                <w:bdr w:val="none" w:sz="0" w:space="0" w:color="auto" w:frame="1"/>
              </w:rPr>
              <w:t>emissions from fossil fuel use, industry, agriculture, waste and products use</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Definition</w:t>
            </w:r>
          </w:p>
        </w:tc>
        <w:tc>
          <w:tcPr>
            <w:tcW w:w="9546"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Anthropogenic long-cycle C emissions </w:t>
            </w:r>
            <w:r>
              <w:rPr>
                <w:strike/>
                <w:color w:val="222222"/>
                <w:sz w:val="16"/>
                <w:szCs w:val="16"/>
                <w:bdr w:val="none" w:sz="0" w:space="0" w:color="auto" w:frame="1"/>
              </w:rPr>
              <w:t>are mainly</w:t>
            </w:r>
            <w:r>
              <w:rPr>
                <w:color w:val="222222"/>
                <w:sz w:val="16"/>
                <w:szCs w:val="16"/>
                <w:bdr w:val="none" w:sz="0" w:space="0" w:color="auto" w:frame="1"/>
              </w:rPr>
              <w:t> originating from combustion of fossil fuels, and </w:t>
            </w:r>
            <w:r>
              <w:rPr>
                <w:strike/>
                <w:color w:val="222222"/>
                <w:sz w:val="16"/>
                <w:szCs w:val="16"/>
                <w:bdr w:val="none" w:sz="0" w:space="0" w:color="auto" w:frame="1"/>
              </w:rPr>
              <w:t>for about 10%</w:t>
            </w:r>
            <w:r>
              <w:rPr>
                <w:color w:val="222222"/>
                <w:sz w:val="16"/>
                <w:szCs w:val="16"/>
                <w:bdr w:val="none" w:sz="0" w:space="0" w:color="auto" w:frame="1"/>
              </w:rPr>
              <w:t> also from non-combustion sources, such as cement production, ferrous and non-ferrous metal production processes, urea production, agricultural liming and solvent use.</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Unit</w:t>
            </w:r>
          </w:p>
        </w:tc>
        <w:tc>
          <w:tcPr>
            <w:tcW w:w="9546"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ton CO2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for the region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Note</w:t>
            </w:r>
          </w:p>
        </w:tc>
        <w:tc>
          <w:tcPr>
            <w:tcW w:w="9546"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This corresponds to UNFCCC reporting of anthropogenic emissions from non-LULUCF sources by country</w:t>
            </w:r>
          </w:p>
        </w:tc>
      </w:tr>
      <w:tr w:rsidR="0099587C" w:rsidTr="0099587C">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Requirements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Item needed</w:t>
            </w:r>
          </w:p>
        </w:tc>
        <w:tc>
          <w:tcPr>
            <w:tcW w:w="984"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Unit</w:t>
            </w:r>
          </w:p>
        </w:tc>
        <w:tc>
          <w:tcPr>
            <w:tcW w:w="1104"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rFonts w:ascii="Calibri" w:hAnsi="Calibri"/>
                <w:b/>
                <w:bCs/>
                <w:color w:val="1155CC"/>
                <w:sz w:val="16"/>
                <w:szCs w:val="16"/>
                <w:bdr w:val="none" w:sz="0" w:space="0" w:color="auto" w:frame="1"/>
              </w:rPr>
              <w:t>[1]</w:t>
            </w:r>
          </w:p>
        </w:tc>
        <w:tc>
          <w:tcPr>
            <w:tcW w:w="2803"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Value</w:t>
            </w:r>
          </w:p>
        </w:tc>
        <w:tc>
          <w:tcPr>
            <w:tcW w:w="4338"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b/>
                <w:bCs/>
                <w:color w:val="222222"/>
                <w:sz w:val="16"/>
                <w:szCs w:val="16"/>
                <w:bdr w:val="none" w:sz="0" w:space="0" w:color="auto" w:frame="1"/>
              </w:rPr>
              <w:t>Derivation and References and Standards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Horizontal Resolution</w:t>
            </w:r>
          </w:p>
        </w:tc>
        <w:tc>
          <w:tcPr>
            <w:tcW w:w="9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NONE – BY COUNTRY</w:t>
            </w:r>
          </w:p>
        </w:tc>
        <w:tc>
          <w:tcPr>
            <w:tcW w:w="110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As defined by UNFCCC</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By country and sector</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Vertical Resolution</w:t>
            </w:r>
          </w:p>
        </w:tc>
        <w:tc>
          <w:tcPr>
            <w:tcW w:w="9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N/A</w:t>
            </w:r>
          </w:p>
        </w:tc>
        <w:tc>
          <w:tcPr>
            <w:tcW w:w="110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N/A</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NOT RELAVENT</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N/A</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NOT RELAVENT</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Temporal Resolution</w:t>
            </w:r>
          </w:p>
        </w:tc>
        <w:tc>
          <w:tcPr>
            <w:tcW w:w="9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 - years</w:t>
            </w:r>
          </w:p>
        </w:tc>
        <w:tc>
          <w:tcPr>
            <w:tcW w:w="110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Annual</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UNFCCC Inventory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Timeliness</w:t>
            </w:r>
          </w:p>
        </w:tc>
        <w:tc>
          <w:tcPr>
            <w:tcW w:w="9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Time - years</w:t>
            </w:r>
          </w:p>
        </w:tc>
        <w:tc>
          <w:tcPr>
            <w:tcW w:w="110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1.25 YEARS</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WITHIN 1.25 YEARS</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UNFCCC Inventory Reporting Guidelines</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Required Measurement Uncertainty</w:t>
            </w:r>
          </w:p>
        </w:tc>
        <w:tc>
          <w:tcPr>
            <w:tcW w:w="9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110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Twice the estimated standard deviation of the total as a % of the total</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rFonts w:ascii="Times New Roman" w:hAnsi="Times New Roman" w:cs="Times New Roman"/>
                <w:color w:val="222222"/>
                <w:sz w:val="24"/>
                <w:szCs w:val="24"/>
              </w:rPr>
            </w:pPr>
            <w:r>
              <w:rPr>
                <w:color w:val="222222"/>
                <w:sz w:val="16"/>
                <w:szCs w:val="16"/>
                <w:bdr w:val="none" w:sz="0" w:space="0" w:color="auto" w:frame="1"/>
              </w:rPr>
              <w:t>Globally: 5%</w:t>
            </w:r>
          </w:p>
          <w:p w:rsidR="0099587C" w:rsidRDefault="0099587C">
            <w:pPr>
              <w:rPr>
                <w:color w:val="222222"/>
                <w:sz w:val="24"/>
                <w:szCs w:val="24"/>
              </w:rPr>
            </w:pPr>
            <w:r>
              <w:rPr>
                <w:color w:val="222222"/>
                <w:sz w:val="16"/>
                <w:szCs w:val="16"/>
                <w:bdr w:val="none" w:sz="0" w:space="0" w:color="auto" w:frame="1"/>
              </w:rPr>
              <w:t>Nationally: 10%</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rFonts w:ascii="Times New Roman" w:hAnsi="Times New Roman" w:cs="Times New Roman"/>
                <w:color w:val="222222"/>
                <w:sz w:val="24"/>
                <w:szCs w:val="24"/>
              </w:rPr>
            </w:pPr>
            <w:r>
              <w:rPr>
                <w:color w:val="222222"/>
                <w:sz w:val="16"/>
                <w:szCs w:val="16"/>
                <w:bdr w:val="none" w:sz="0" w:space="0" w:color="auto" w:frame="1"/>
              </w:rPr>
              <w:t>Globally: 10%</w:t>
            </w:r>
          </w:p>
          <w:p w:rsidR="0099587C" w:rsidRDefault="0099587C">
            <w:pPr>
              <w:rPr>
                <w:color w:val="222222"/>
                <w:sz w:val="24"/>
                <w:szCs w:val="24"/>
              </w:rPr>
            </w:pPr>
            <w:r>
              <w:rPr>
                <w:color w:val="222222"/>
                <w:sz w:val="16"/>
                <w:szCs w:val="16"/>
                <w:bdr w:val="none" w:sz="0" w:space="0" w:color="auto" w:frame="1"/>
              </w:rPr>
              <w:t>Nationally: 30%</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IPCC 2006 GL</w:t>
            </w:r>
          </w:p>
        </w:tc>
      </w:tr>
      <w:tr w:rsidR="0099587C" w:rsidTr="0099587C">
        <w:tc>
          <w:tcPr>
            <w:tcW w:w="1137"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Stability</w:t>
            </w:r>
          </w:p>
        </w:tc>
        <w:tc>
          <w:tcPr>
            <w:tcW w:w="9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w:t>
            </w:r>
          </w:p>
        </w:tc>
        <w:tc>
          <w:tcPr>
            <w:tcW w:w="110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Follow times series consistency in 2006 GLs and 2019 Refinement</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G</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B</w:t>
            </w:r>
          </w:p>
        </w:tc>
        <w:tc>
          <w:tcPr>
            <w:tcW w:w="280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r w:rsidR="0099587C" w:rsidTr="0099587C">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99587C" w:rsidRDefault="0099587C">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T</w:t>
            </w:r>
          </w:p>
        </w:tc>
        <w:tc>
          <w:tcPr>
            <w:tcW w:w="280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c>
          <w:tcPr>
            <w:tcW w:w="43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Standards and References</w:t>
            </w:r>
          </w:p>
        </w:tc>
        <w:tc>
          <w:tcPr>
            <w:tcW w:w="9546"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IPCC 2006 GL (Optional: 2019 Refinement of the GL; National inventory reports to UNFCCC)</w:t>
            </w:r>
          </w:p>
        </w:tc>
      </w:tr>
      <w:tr w:rsidR="0099587C" w:rsidTr="0099587C">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jc w:val="center"/>
              <w:rPr>
                <w:color w:val="222222"/>
                <w:sz w:val="24"/>
                <w:szCs w:val="24"/>
              </w:rPr>
            </w:pPr>
            <w:r>
              <w:rPr>
                <w:b/>
                <w:bCs/>
                <w:color w:val="FFFFFF"/>
                <w:sz w:val="16"/>
                <w:szCs w:val="16"/>
                <w:bdr w:val="none" w:sz="0" w:space="0" w:color="auto" w:frame="1"/>
              </w:rPr>
              <w:t>Adaptation and Extremes</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 </w:t>
            </w:r>
          </w:p>
        </w:tc>
        <w:tc>
          <w:tcPr>
            <w:tcW w:w="984"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1104"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7458"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lastRenderedPageBreak/>
              <w:t>Explanation</w:t>
            </w:r>
          </w:p>
        </w:tc>
      </w:tr>
      <w:tr w:rsidR="0099587C" w:rsidTr="0099587C">
        <w:tc>
          <w:tcPr>
            <w:tcW w:w="1137"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98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110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YES</w:t>
            </w:r>
          </w:p>
        </w:tc>
        <w:tc>
          <w:tcPr>
            <w:tcW w:w="7458"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Measure of impact of adaptation on national emissions.</w:t>
            </w:r>
          </w:p>
        </w:tc>
      </w:tr>
      <w:tr w:rsidR="0099587C" w:rsidTr="0099587C">
        <w:trPr>
          <w:trHeight w:val="266"/>
        </w:trPr>
        <w:tc>
          <w:tcPr>
            <w:tcW w:w="1137"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9587C" w:rsidRDefault="0099587C">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98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NO</w:t>
            </w:r>
          </w:p>
        </w:tc>
        <w:tc>
          <w:tcPr>
            <w:tcW w:w="110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jc w:val="center"/>
              <w:rPr>
                <w:color w:val="222222"/>
                <w:sz w:val="24"/>
                <w:szCs w:val="24"/>
              </w:rPr>
            </w:pPr>
            <w:r>
              <w:rPr>
                <w:color w:val="222222"/>
                <w:sz w:val="16"/>
                <w:szCs w:val="16"/>
                <w:bdr w:val="none" w:sz="0" w:space="0" w:color="auto" w:frame="1"/>
              </w:rPr>
              <w:t>-</w:t>
            </w:r>
          </w:p>
        </w:tc>
        <w:tc>
          <w:tcPr>
            <w:tcW w:w="7458"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9587C" w:rsidRDefault="0099587C">
            <w:pPr>
              <w:rPr>
                <w:color w:val="222222"/>
                <w:sz w:val="24"/>
                <w:szCs w:val="24"/>
              </w:rPr>
            </w:pPr>
            <w:r>
              <w:rPr>
                <w:color w:val="222222"/>
                <w:sz w:val="16"/>
                <w:szCs w:val="16"/>
                <w:bdr w:val="none" w:sz="0" w:space="0" w:color="auto" w:frame="1"/>
              </w:rPr>
              <w:t> </w:t>
            </w:r>
          </w:p>
        </w:tc>
      </w:tr>
    </w:tbl>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9587C" w:rsidRDefault="0099587C" w:rsidP="0099587C">
      <w:pPr>
        <w:shd w:val="clear" w:color="auto" w:fill="FFFFFF"/>
        <w:rPr>
          <w:rFonts w:ascii="Arial" w:hAnsi="Arial" w:cs="Arial"/>
          <w:color w:val="222222"/>
          <w:sz w:val="20"/>
          <w:szCs w:val="20"/>
        </w:rPr>
      </w:pPr>
      <w:r>
        <w:rPr>
          <w:rFonts w:ascii="Arial" w:hAnsi="Arial" w:cs="Arial"/>
          <w:color w:val="222222"/>
          <w:sz w:val="20"/>
          <w:szCs w:val="20"/>
        </w:rPr>
        <w:pict>
          <v:rect id="_x0000_i1032" style="width:178.2pt;height:.75pt" o:hrpct="330" o:hrstd="t" o:hr="t" fillcolor="#a0a0a0" stroked="f"/>
        </w:pic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9587C">
        <w:rPr>
          <w:rFonts w:ascii="Arial" w:hAnsi="Arial" w:cs="Arial"/>
          <w:color w:val="222222"/>
          <w:sz w:val="16"/>
          <w:szCs w:val="16"/>
          <w:bdr w:val="none" w:sz="0" w:space="0" w:color="auto" w:frame="1"/>
          <w:lang w:val="en-US"/>
        </w:rPr>
        <w:t>Goal (G); Breakthrough (B)(not mandatory, more as one possible); Threshold (T), for definitions see </w:t>
      </w:r>
      <w:hyperlink r:id="rId17" w:tgtFrame="_blank" w:history="1">
        <w:r>
          <w:rPr>
            <w:rStyle w:val="Hyperlink"/>
            <w:rFonts w:ascii="Arial" w:hAnsi="Arial" w:cs="Arial"/>
            <w:color w:val="6611CC"/>
            <w:sz w:val="16"/>
            <w:szCs w:val="16"/>
            <w:bdr w:val="none" w:sz="0" w:space="0" w:color="auto" w:frame="1"/>
            <w:lang w:val="en-GB"/>
          </w:rPr>
          <w:t>Guidelines</w:t>
        </w:r>
      </w:hyperlink>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9587C" w:rsidRPr="0099587C" w:rsidRDefault="0099587C" w:rsidP="0099587C">
      <w:pPr>
        <w:pStyle w:val="NormalWeb"/>
        <w:shd w:val="clear" w:color="auto" w:fill="FFFFFF"/>
        <w:spacing w:before="0" w:beforeAutospacing="0" w:after="0" w:afterAutospacing="0"/>
        <w:rPr>
          <w:rFonts w:ascii="Arial" w:hAnsi="Arial" w:cs="Arial"/>
          <w:color w:val="222222"/>
          <w:sz w:val="20"/>
          <w:szCs w:val="20"/>
          <w:lang w:val="en-US"/>
        </w:rPr>
      </w:pPr>
      <w:bookmarkStart w:id="7" w:name="ccf5abc0-9196-42b1-9c19-d48ef55510c8@wmo"/>
      <w:r>
        <w:rPr>
          <w:rFonts w:ascii="Calibri" w:hAnsi="Calibri" w:cs="Arial"/>
          <w:color w:val="1155CC"/>
          <w:sz w:val="20"/>
          <w:szCs w:val="20"/>
          <w:bdr w:val="none" w:sz="0" w:space="0" w:color="auto" w:frame="1"/>
          <w:lang w:val="en-US"/>
        </w:rPr>
        <w:t>[3]</w:t>
      </w:r>
      <w:bookmarkEnd w:id="7"/>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99587C" w:rsidRPr="0099587C" w:rsidRDefault="0099587C" w:rsidP="0099587C">
      <w:pPr>
        <w:pStyle w:val="WMOBodyText"/>
        <w:rPr>
          <w:lang w:val="en-US"/>
        </w:rPr>
      </w:pPr>
    </w:p>
    <w:p w:rsidR="0099587C" w:rsidRPr="00215C42" w:rsidRDefault="0099587C" w:rsidP="0099587C">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9587C" w:rsidTr="0099587C">
        <w:trPr>
          <w:trHeight w:val="340"/>
        </w:trPr>
        <w:tc>
          <w:tcPr>
            <w:tcW w:w="2441" w:type="pct"/>
            <w:vAlign w:val="center"/>
          </w:tcPr>
          <w:p w:rsidR="0099587C" w:rsidRPr="00215C42" w:rsidRDefault="0099587C" w:rsidP="00AF2D98">
            <w:pPr>
              <w:rPr>
                <w:sz w:val="20"/>
                <w:szCs w:val="20"/>
              </w:rPr>
            </w:pPr>
            <w:r w:rsidRPr="009029F2">
              <w:rPr>
                <w:sz w:val="20"/>
                <w:szCs w:val="20"/>
              </w:rPr>
              <w:t>Author</w:t>
            </w:r>
            <w:r>
              <w:rPr>
                <w:sz w:val="20"/>
                <w:szCs w:val="20"/>
              </w:rPr>
              <w:t>:</w:t>
            </w:r>
            <w:r w:rsidR="00AF2D98" w:rsidRPr="00AF2D98">
              <w:rPr>
                <w:sz w:val="20"/>
                <w:szCs w:val="20"/>
              </w:rPr>
              <w:t xml:space="preserve"> Wiltshire</w:t>
            </w:r>
            <w:r>
              <w:rPr>
                <w:sz w:val="20"/>
                <w:szCs w:val="20"/>
              </w:rPr>
              <w:t xml:space="preserve"> </w:t>
            </w:r>
            <w:sdt>
              <w:sdtPr>
                <w:rPr>
                  <w:sz w:val="20"/>
                  <w:szCs w:val="20"/>
                </w:rPr>
                <w:id w:val="-1100879495"/>
                <w:placeholder>
                  <w:docPart w:val="F727F80E020044E7B692E09EA6CAA4DD"/>
                </w:placeholder>
              </w:sdtPr>
              <w:sdtContent>
                <w:r w:rsidR="00AF2D98">
                  <w:rPr>
                    <w:sz w:val="20"/>
                    <w:szCs w:val="20"/>
                  </w:rPr>
                  <w:t>A</w:t>
                </w:r>
                <w:r w:rsidR="00AF2D98" w:rsidRPr="00AF2D98">
                  <w:rPr>
                    <w:sz w:val="20"/>
                    <w:szCs w:val="20"/>
                  </w:rPr>
                  <w:t>ndy Wiltshire</w:t>
                </w:r>
              </w:sdtContent>
            </w:sdt>
          </w:p>
        </w:tc>
        <w:tc>
          <w:tcPr>
            <w:tcW w:w="2559" w:type="pct"/>
            <w:vAlign w:val="center"/>
          </w:tcPr>
          <w:p w:rsidR="0099587C" w:rsidRPr="00E80C12" w:rsidRDefault="0099587C" w:rsidP="00AF2D98">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AF2D98">
              <w:rPr>
                <w:sz w:val="20"/>
                <w:szCs w:val="20"/>
              </w:rPr>
              <w:t xml:space="preserve"> </w:t>
            </w:r>
            <w:sdt>
              <w:sdtPr>
                <w:rPr>
                  <w:sz w:val="20"/>
                  <w:szCs w:val="20"/>
                </w:rPr>
                <w:id w:val="835273861"/>
                <w:placeholder>
                  <w:docPart w:val="0F5D6DB1A5C34176A129322B98A4906F"/>
                </w:placeholder>
              </w:sdtPr>
              <w:sdtContent>
                <w:r w:rsidR="00AF2D98" w:rsidRPr="00AF2D98">
                  <w:rPr>
                    <w:sz w:val="20"/>
                    <w:szCs w:val="20"/>
                  </w:rPr>
                  <w:t xml:space="preserve"> andy.wiltshire953@gmail.com</w:t>
                </w:r>
              </w:sdtContent>
            </w:sdt>
            <w:r w:rsidR="00AF2D98">
              <w:t xml:space="preserve"> </w:t>
            </w:r>
            <w:bookmarkStart w:id="8" w:name="_GoBack"/>
            <w:bookmarkEnd w:id="8"/>
          </w:p>
        </w:tc>
      </w:tr>
      <w:tr w:rsidR="0099587C" w:rsidTr="0099587C">
        <w:tc>
          <w:tcPr>
            <w:tcW w:w="5000" w:type="pct"/>
            <w:gridSpan w:val="2"/>
          </w:tcPr>
          <w:sdt>
            <w:sdtPr>
              <w:id w:val="-57022318"/>
              <w:placeholder>
                <w:docPart w:val="A38F999594F5450E831248EBC6E6147E"/>
              </w:placeholder>
            </w:sdtPr>
            <w:sdtContent>
              <w:p w:rsidR="0099587C" w:rsidRPr="00AF2D98" w:rsidRDefault="00AF2D98" w:rsidP="00AF2D98">
                <w:pPr>
                  <w:rPr>
                    <w:sz w:val="20"/>
                    <w:szCs w:val="20"/>
                  </w:rPr>
                </w:pPr>
                <w:r w:rsidRPr="00AF2D98">
                  <w:t xml:space="preserve">Apologies as I may have </w:t>
                </w:r>
                <w:proofErr w:type="spellStart"/>
                <w:r w:rsidRPr="00AF2D98">
                  <w:t>misundestood</w:t>
                </w:r>
                <w:proofErr w:type="spellEnd"/>
                <w:r w:rsidRPr="00AF2D98">
                  <w:t xml:space="preserve"> the structure of this document but an important anthropogenic emission is from LULUCF and should feature somewhere.</w:t>
                </w:r>
              </w:p>
            </w:sdtContent>
          </w:sdt>
        </w:tc>
      </w:tr>
    </w:tbl>
    <w:p w:rsidR="0099587C" w:rsidRDefault="0099587C" w:rsidP="0099587C">
      <w:pPr>
        <w:pStyle w:val="WMOBodyText"/>
        <w:rPr>
          <w:sz w:val="20"/>
          <w:szCs w:val="20"/>
        </w:rPr>
      </w:pPr>
    </w:p>
    <w:p w:rsidR="0099587C" w:rsidRPr="0099587C" w:rsidRDefault="0099587C" w:rsidP="00F07CBB">
      <w:pPr>
        <w:pStyle w:val="WMOBodyText"/>
      </w:pPr>
    </w:p>
    <w:sectPr w:rsidR="0099587C" w:rsidRPr="0099587C"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3F4" w:rsidRDefault="003033F4" w:rsidP="00AC5144">
      <w:pPr>
        <w:spacing w:after="0" w:line="240" w:lineRule="auto"/>
      </w:pPr>
      <w:r>
        <w:separator/>
      </w:r>
    </w:p>
  </w:endnote>
  <w:endnote w:type="continuationSeparator" w:id="0">
    <w:p w:rsidR="003033F4" w:rsidRDefault="003033F4"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3F4" w:rsidRDefault="003033F4" w:rsidP="00AC5144">
      <w:pPr>
        <w:spacing w:after="0" w:line="240" w:lineRule="auto"/>
      </w:pPr>
      <w:r>
        <w:separator/>
      </w:r>
    </w:p>
  </w:footnote>
  <w:footnote w:type="continuationSeparator" w:id="0">
    <w:p w:rsidR="003033F4" w:rsidRDefault="003033F4"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8853246"/>
    <w:multiLevelType w:val="hybridMultilevel"/>
    <w:tmpl w:val="D4463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nsid w:val="6FCB14D0"/>
    <w:multiLevelType w:val="hybridMultilevel"/>
    <w:tmpl w:val="5EE4D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033F4"/>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9642A3"/>
    <w:rsid w:val="0099587C"/>
    <w:rsid w:val="00A43327"/>
    <w:rsid w:val="00AC5144"/>
    <w:rsid w:val="00AF2D98"/>
    <w:rsid w:val="00B53A9D"/>
    <w:rsid w:val="00B5791B"/>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2895">
      <w:bodyDiv w:val="1"/>
      <w:marLeft w:val="0"/>
      <w:marRight w:val="0"/>
      <w:marTop w:val="0"/>
      <w:marBottom w:val="0"/>
      <w:divBdr>
        <w:top w:val="none" w:sz="0" w:space="0" w:color="auto"/>
        <w:left w:val="none" w:sz="0" w:space="0" w:color="auto"/>
        <w:bottom w:val="none" w:sz="0" w:space="0" w:color="auto"/>
        <w:right w:val="none" w:sz="0" w:space="0" w:color="auto"/>
      </w:divBdr>
      <w:divsChild>
        <w:div w:id="1687176548">
          <w:marLeft w:val="660"/>
          <w:marRight w:val="0"/>
          <w:marTop w:val="0"/>
          <w:marBottom w:val="0"/>
          <w:divBdr>
            <w:top w:val="none" w:sz="0" w:space="0" w:color="auto"/>
            <w:left w:val="none" w:sz="0" w:space="0" w:color="auto"/>
            <w:bottom w:val="none" w:sz="0" w:space="0" w:color="auto"/>
            <w:right w:val="none" w:sz="0" w:space="0" w:color="auto"/>
          </w:divBdr>
          <w:divsChild>
            <w:div w:id="1741561540">
              <w:marLeft w:val="0"/>
              <w:marRight w:val="0"/>
              <w:marTop w:val="0"/>
              <w:marBottom w:val="0"/>
              <w:divBdr>
                <w:top w:val="none" w:sz="0" w:space="0" w:color="auto"/>
                <w:left w:val="none" w:sz="0" w:space="0" w:color="auto"/>
                <w:bottom w:val="none" w:sz="0" w:space="0" w:color="auto"/>
                <w:right w:val="none" w:sz="0" w:space="0" w:color="auto"/>
              </w:divBdr>
              <w:divsChild>
                <w:div w:id="1063137716">
                  <w:marLeft w:val="0"/>
                  <w:marRight w:val="0"/>
                  <w:marTop w:val="0"/>
                  <w:marBottom w:val="0"/>
                  <w:divBdr>
                    <w:top w:val="none" w:sz="0" w:space="0" w:color="auto"/>
                    <w:left w:val="none" w:sz="0" w:space="0" w:color="auto"/>
                    <w:bottom w:val="none" w:sz="0" w:space="0" w:color="auto"/>
                    <w:right w:val="none" w:sz="0" w:space="0" w:color="auto"/>
                  </w:divBdr>
                  <w:divsChild>
                    <w:div w:id="1562790562">
                      <w:marLeft w:val="0"/>
                      <w:marRight w:val="0"/>
                      <w:marTop w:val="0"/>
                      <w:marBottom w:val="0"/>
                      <w:divBdr>
                        <w:top w:val="none" w:sz="0" w:space="0" w:color="auto"/>
                        <w:left w:val="none" w:sz="0" w:space="0" w:color="auto"/>
                        <w:bottom w:val="none" w:sz="0" w:space="0" w:color="auto"/>
                        <w:right w:val="none" w:sz="0" w:space="0" w:color="auto"/>
                      </w:divBdr>
                      <w:divsChild>
                        <w:div w:id="2127306660">
                          <w:marLeft w:val="0"/>
                          <w:marRight w:val="0"/>
                          <w:marTop w:val="0"/>
                          <w:marBottom w:val="0"/>
                          <w:divBdr>
                            <w:top w:val="none" w:sz="0" w:space="0" w:color="auto"/>
                            <w:left w:val="none" w:sz="0" w:space="0" w:color="auto"/>
                            <w:bottom w:val="none" w:sz="0" w:space="0" w:color="auto"/>
                            <w:right w:val="none" w:sz="0" w:space="0" w:color="auto"/>
                          </w:divBdr>
                          <w:divsChild>
                            <w:div w:id="898905539">
                              <w:marLeft w:val="0"/>
                              <w:marRight w:val="0"/>
                              <w:marTop w:val="0"/>
                              <w:marBottom w:val="0"/>
                              <w:divBdr>
                                <w:top w:val="none" w:sz="0" w:space="0" w:color="auto"/>
                                <w:left w:val="none" w:sz="0" w:space="0" w:color="auto"/>
                                <w:bottom w:val="none" w:sz="0" w:space="0" w:color="auto"/>
                                <w:right w:val="none" w:sz="0" w:space="0" w:color="auto"/>
                              </w:divBdr>
                              <w:divsChild>
                                <w:div w:id="1254389706">
                                  <w:marLeft w:val="0"/>
                                  <w:marRight w:val="0"/>
                                  <w:marTop w:val="0"/>
                                  <w:marBottom w:val="0"/>
                                  <w:divBdr>
                                    <w:top w:val="none" w:sz="0" w:space="0" w:color="auto"/>
                                    <w:left w:val="none" w:sz="0" w:space="0" w:color="auto"/>
                                    <w:bottom w:val="none" w:sz="0" w:space="0" w:color="auto"/>
                                    <w:right w:val="none" w:sz="0" w:space="0" w:color="auto"/>
                                  </w:divBdr>
                                  <w:divsChild>
                                    <w:div w:id="1173912027">
                                      <w:marLeft w:val="0"/>
                                      <w:marRight w:val="0"/>
                                      <w:marTop w:val="0"/>
                                      <w:marBottom w:val="0"/>
                                      <w:divBdr>
                                        <w:top w:val="none" w:sz="0" w:space="0" w:color="auto"/>
                                        <w:left w:val="none" w:sz="0" w:space="0" w:color="auto"/>
                                        <w:bottom w:val="none" w:sz="0" w:space="0" w:color="auto"/>
                                        <w:right w:val="none" w:sz="0" w:space="0" w:color="auto"/>
                                      </w:divBdr>
                                    </w:div>
                                    <w:div w:id="2030177573">
                                      <w:marLeft w:val="0"/>
                                      <w:marRight w:val="0"/>
                                      <w:marTop w:val="0"/>
                                      <w:marBottom w:val="0"/>
                                      <w:divBdr>
                                        <w:top w:val="none" w:sz="0" w:space="0" w:color="auto"/>
                                        <w:left w:val="none" w:sz="0" w:space="0" w:color="auto"/>
                                        <w:bottom w:val="none" w:sz="0" w:space="0" w:color="auto"/>
                                        <w:right w:val="none" w:sz="0" w:space="0" w:color="auto"/>
                                      </w:divBdr>
                                    </w:div>
                                    <w:div w:id="166628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641904">
      <w:bodyDiv w:val="1"/>
      <w:marLeft w:val="0"/>
      <w:marRight w:val="0"/>
      <w:marTop w:val="0"/>
      <w:marBottom w:val="0"/>
      <w:divBdr>
        <w:top w:val="none" w:sz="0" w:space="0" w:color="auto"/>
        <w:left w:val="none" w:sz="0" w:space="0" w:color="auto"/>
        <w:bottom w:val="none" w:sz="0" w:space="0" w:color="auto"/>
        <w:right w:val="none" w:sz="0" w:space="0" w:color="auto"/>
      </w:divBdr>
      <w:divsChild>
        <w:div w:id="1084302509">
          <w:marLeft w:val="0"/>
          <w:marRight w:val="0"/>
          <w:marTop w:val="0"/>
          <w:marBottom w:val="0"/>
          <w:divBdr>
            <w:top w:val="none" w:sz="0" w:space="0" w:color="auto"/>
            <w:left w:val="none" w:sz="0" w:space="0" w:color="auto"/>
            <w:bottom w:val="none" w:sz="0" w:space="0" w:color="auto"/>
            <w:right w:val="none" w:sz="0" w:space="0" w:color="auto"/>
          </w:divBdr>
          <w:divsChild>
            <w:div w:id="1693914861">
              <w:marLeft w:val="0"/>
              <w:marRight w:val="0"/>
              <w:marTop w:val="0"/>
              <w:marBottom w:val="0"/>
              <w:divBdr>
                <w:top w:val="none" w:sz="0" w:space="0" w:color="auto"/>
                <w:left w:val="none" w:sz="0" w:space="0" w:color="auto"/>
                <w:bottom w:val="none" w:sz="0" w:space="0" w:color="auto"/>
                <w:right w:val="none" w:sz="0" w:space="0" w:color="auto"/>
              </w:divBdr>
            </w:div>
            <w:div w:id="244804146">
              <w:marLeft w:val="0"/>
              <w:marRight w:val="0"/>
              <w:marTop w:val="0"/>
              <w:marBottom w:val="0"/>
              <w:divBdr>
                <w:top w:val="none" w:sz="0" w:space="0" w:color="auto"/>
                <w:left w:val="none" w:sz="0" w:space="0" w:color="auto"/>
                <w:bottom w:val="none" w:sz="0" w:space="0" w:color="auto"/>
                <w:right w:val="none" w:sz="0" w:space="0" w:color="auto"/>
              </w:divBdr>
            </w:div>
            <w:div w:id="41131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3193">
      <w:bodyDiv w:val="1"/>
      <w:marLeft w:val="0"/>
      <w:marRight w:val="0"/>
      <w:marTop w:val="0"/>
      <w:marBottom w:val="0"/>
      <w:divBdr>
        <w:top w:val="none" w:sz="0" w:space="0" w:color="auto"/>
        <w:left w:val="none" w:sz="0" w:space="0" w:color="auto"/>
        <w:bottom w:val="none" w:sz="0" w:space="0" w:color="auto"/>
        <w:right w:val="none" w:sz="0" w:space="0" w:color="auto"/>
      </w:divBdr>
      <w:divsChild>
        <w:div w:id="539049625">
          <w:marLeft w:val="0"/>
          <w:marRight w:val="0"/>
          <w:marTop w:val="0"/>
          <w:marBottom w:val="0"/>
          <w:divBdr>
            <w:top w:val="none" w:sz="0" w:space="0" w:color="auto"/>
            <w:left w:val="none" w:sz="0" w:space="0" w:color="auto"/>
            <w:bottom w:val="none" w:sz="0" w:space="0" w:color="auto"/>
            <w:right w:val="none" w:sz="0" w:space="0" w:color="auto"/>
          </w:divBdr>
          <w:divsChild>
            <w:div w:id="1402754777">
              <w:marLeft w:val="0"/>
              <w:marRight w:val="0"/>
              <w:marTop w:val="0"/>
              <w:marBottom w:val="0"/>
              <w:divBdr>
                <w:top w:val="none" w:sz="0" w:space="0" w:color="auto"/>
                <w:left w:val="none" w:sz="0" w:space="0" w:color="auto"/>
                <w:bottom w:val="none" w:sz="0" w:space="0" w:color="auto"/>
                <w:right w:val="none" w:sz="0" w:space="0" w:color="auto"/>
              </w:divBdr>
            </w:div>
            <w:div w:id="1699819910">
              <w:marLeft w:val="0"/>
              <w:marRight w:val="0"/>
              <w:marTop w:val="0"/>
              <w:marBottom w:val="0"/>
              <w:divBdr>
                <w:top w:val="none" w:sz="0" w:space="0" w:color="auto"/>
                <w:left w:val="none" w:sz="0" w:space="0" w:color="auto"/>
                <w:bottom w:val="none" w:sz="0" w:space="0" w:color="auto"/>
                <w:right w:val="none" w:sz="0" w:space="0" w:color="auto"/>
              </w:divBdr>
            </w:div>
            <w:div w:id="15253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8893">
      <w:bodyDiv w:val="1"/>
      <w:marLeft w:val="0"/>
      <w:marRight w:val="0"/>
      <w:marTop w:val="0"/>
      <w:marBottom w:val="0"/>
      <w:divBdr>
        <w:top w:val="none" w:sz="0" w:space="0" w:color="auto"/>
        <w:left w:val="none" w:sz="0" w:space="0" w:color="auto"/>
        <w:bottom w:val="none" w:sz="0" w:space="0" w:color="auto"/>
        <w:right w:val="none" w:sz="0" w:space="0" w:color="auto"/>
      </w:divBdr>
      <w:divsChild>
        <w:div w:id="1969360908">
          <w:marLeft w:val="0"/>
          <w:marRight w:val="0"/>
          <w:marTop w:val="0"/>
          <w:marBottom w:val="0"/>
          <w:divBdr>
            <w:top w:val="none" w:sz="0" w:space="0" w:color="auto"/>
            <w:left w:val="none" w:sz="0" w:space="0" w:color="auto"/>
            <w:bottom w:val="none" w:sz="0" w:space="0" w:color="auto"/>
            <w:right w:val="none" w:sz="0" w:space="0" w:color="auto"/>
          </w:divBdr>
          <w:divsChild>
            <w:div w:id="971329237">
              <w:marLeft w:val="0"/>
              <w:marRight w:val="0"/>
              <w:marTop w:val="0"/>
              <w:marBottom w:val="0"/>
              <w:divBdr>
                <w:top w:val="none" w:sz="0" w:space="0" w:color="auto"/>
                <w:left w:val="none" w:sz="0" w:space="0" w:color="auto"/>
                <w:bottom w:val="none" w:sz="0" w:space="0" w:color="auto"/>
                <w:right w:val="none" w:sz="0" w:space="0" w:color="auto"/>
              </w:divBdr>
            </w:div>
            <w:div w:id="1806241558">
              <w:marLeft w:val="0"/>
              <w:marRight w:val="0"/>
              <w:marTop w:val="0"/>
              <w:marBottom w:val="0"/>
              <w:divBdr>
                <w:top w:val="none" w:sz="0" w:space="0" w:color="auto"/>
                <w:left w:val="none" w:sz="0" w:space="0" w:color="auto"/>
                <w:bottom w:val="none" w:sz="0" w:space="0" w:color="auto"/>
                <w:right w:val="none" w:sz="0" w:space="0" w:color="auto"/>
              </w:divBdr>
            </w:div>
            <w:div w:id="15131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59794">
      <w:bodyDiv w:val="1"/>
      <w:marLeft w:val="0"/>
      <w:marRight w:val="0"/>
      <w:marTop w:val="0"/>
      <w:marBottom w:val="0"/>
      <w:divBdr>
        <w:top w:val="none" w:sz="0" w:space="0" w:color="auto"/>
        <w:left w:val="none" w:sz="0" w:space="0" w:color="auto"/>
        <w:bottom w:val="none" w:sz="0" w:space="0" w:color="auto"/>
        <w:right w:val="none" w:sz="0" w:space="0" w:color="auto"/>
      </w:divBdr>
      <w:divsChild>
        <w:div w:id="100953448">
          <w:marLeft w:val="0"/>
          <w:marRight w:val="0"/>
          <w:marTop w:val="0"/>
          <w:marBottom w:val="0"/>
          <w:divBdr>
            <w:top w:val="none" w:sz="0" w:space="0" w:color="auto"/>
            <w:left w:val="none" w:sz="0" w:space="0" w:color="auto"/>
            <w:bottom w:val="none" w:sz="0" w:space="0" w:color="auto"/>
            <w:right w:val="none" w:sz="0" w:space="0" w:color="auto"/>
          </w:divBdr>
          <w:divsChild>
            <w:div w:id="894968223">
              <w:marLeft w:val="0"/>
              <w:marRight w:val="0"/>
              <w:marTop w:val="0"/>
              <w:marBottom w:val="0"/>
              <w:divBdr>
                <w:top w:val="none" w:sz="0" w:space="0" w:color="auto"/>
                <w:left w:val="none" w:sz="0" w:space="0" w:color="auto"/>
                <w:bottom w:val="none" w:sz="0" w:space="0" w:color="auto"/>
                <w:right w:val="none" w:sz="0" w:space="0" w:color="auto"/>
              </w:divBdr>
            </w:div>
            <w:div w:id="1811704992">
              <w:marLeft w:val="0"/>
              <w:marRight w:val="0"/>
              <w:marTop w:val="0"/>
              <w:marBottom w:val="0"/>
              <w:divBdr>
                <w:top w:val="none" w:sz="0" w:space="0" w:color="auto"/>
                <w:left w:val="none" w:sz="0" w:space="0" w:color="auto"/>
                <w:bottom w:val="none" w:sz="0" w:space="0" w:color="auto"/>
                <w:right w:val="none" w:sz="0" w:space="0" w:color="auto"/>
              </w:divBdr>
            </w:div>
            <w:div w:id="139612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302931">
      <w:bodyDiv w:val="1"/>
      <w:marLeft w:val="0"/>
      <w:marRight w:val="0"/>
      <w:marTop w:val="0"/>
      <w:marBottom w:val="0"/>
      <w:divBdr>
        <w:top w:val="none" w:sz="0" w:space="0" w:color="auto"/>
        <w:left w:val="none" w:sz="0" w:space="0" w:color="auto"/>
        <w:bottom w:val="none" w:sz="0" w:space="0" w:color="auto"/>
        <w:right w:val="none" w:sz="0" w:space="0" w:color="auto"/>
      </w:divBdr>
      <w:divsChild>
        <w:div w:id="165633379">
          <w:marLeft w:val="0"/>
          <w:marRight w:val="0"/>
          <w:marTop w:val="0"/>
          <w:marBottom w:val="0"/>
          <w:divBdr>
            <w:top w:val="none" w:sz="0" w:space="0" w:color="auto"/>
            <w:left w:val="none" w:sz="0" w:space="0" w:color="auto"/>
            <w:bottom w:val="none" w:sz="0" w:space="0" w:color="auto"/>
            <w:right w:val="none" w:sz="0" w:space="0" w:color="auto"/>
          </w:divBdr>
          <w:divsChild>
            <w:div w:id="1362172799">
              <w:marLeft w:val="0"/>
              <w:marRight w:val="0"/>
              <w:marTop w:val="0"/>
              <w:marBottom w:val="0"/>
              <w:divBdr>
                <w:top w:val="none" w:sz="0" w:space="0" w:color="auto"/>
                <w:left w:val="none" w:sz="0" w:space="0" w:color="auto"/>
                <w:bottom w:val="none" w:sz="0" w:space="0" w:color="auto"/>
                <w:right w:val="none" w:sz="0" w:space="0" w:color="auto"/>
              </w:divBdr>
            </w:div>
            <w:div w:id="1554733896">
              <w:marLeft w:val="0"/>
              <w:marRight w:val="0"/>
              <w:marTop w:val="0"/>
              <w:marBottom w:val="0"/>
              <w:divBdr>
                <w:top w:val="none" w:sz="0" w:space="0" w:color="auto"/>
                <w:left w:val="none" w:sz="0" w:space="0" w:color="auto"/>
                <w:bottom w:val="none" w:sz="0" w:space="0" w:color="auto"/>
                <w:right w:val="none" w:sz="0" w:space="0" w:color="auto"/>
              </w:divBdr>
            </w:div>
            <w:div w:id="605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025472">
      <w:bodyDiv w:val="1"/>
      <w:marLeft w:val="0"/>
      <w:marRight w:val="0"/>
      <w:marTop w:val="0"/>
      <w:marBottom w:val="0"/>
      <w:divBdr>
        <w:top w:val="none" w:sz="0" w:space="0" w:color="auto"/>
        <w:left w:val="none" w:sz="0" w:space="0" w:color="auto"/>
        <w:bottom w:val="none" w:sz="0" w:space="0" w:color="auto"/>
        <w:right w:val="none" w:sz="0" w:space="0" w:color="auto"/>
      </w:divBdr>
      <w:divsChild>
        <w:div w:id="812796949">
          <w:marLeft w:val="660"/>
          <w:marRight w:val="0"/>
          <w:marTop w:val="0"/>
          <w:marBottom w:val="0"/>
          <w:divBdr>
            <w:top w:val="none" w:sz="0" w:space="0" w:color="auto"/>
            <w:left w:val="none" w:sz="0" w:space="0" w:color="auto"/>
            <w:bottom w:val="none" w:sz="0" w:space="0" w:color="auto"/>
            <w:right w:val="none" w:sz="0" w:space="0" w:color="auto"/>
          </w:divBdr>
          <w:divsChild>
            <w:div w:id="2066443480">
              <w:marLeft w:val="0"/>
              <w:marRight w:val="0"/>
              <w:marTop w:val="0"/>
              <w:marBottom w:val="0"/>
              <w:divBdr>
                <w:top w:val="none" w:sz="0" w:space="0" w:color="auto"/>
                <w:left w:val="none" w:sz="0" w:space="0" w:color="auto"/>
                <w:bottom w:val="none" w:sz="0" w:space="0" w:color="auto"/>
                <w:right w:val="none" w:sz="0" w:space="0" w:color="auto"/>
              </w:divBdr>
              <w:divsChild>
                <w:div w:id="1318343639">
                  <w:marLeft w:val="0"/>
                  <w:marRight w:val="0"/>
                  <w:marTop w:val="0"/>
                  <w:marBottom w:val="0"/>
                  <w:divBdr>
                    <w:top w:val="none" w:sz="0" w:space="0" w:color="auto"/>
                    <w:left w:val="none" w:sz="0" w:space="0" w:color="auto"/>
                    <w:bottom w:val="none" w:sz="0" w:space="0" w:color="auto"/>
                    <w:right w:val="none" w:sz="0" w:space="0" w:color="auto"/>
                  </w:divBdr>
                  <w:divsChild>
                    <w:div w:id="2136369448">
                      <w:marLeft w:val="0"/>
                      <w:marRight w:val="0"/>
                      <w:marTop w:val="0"/>
                      <w:marBottom w:val="0"/>
                      <w:divBdr>
                        <w:top w:val="none" w:sz="0" w:space="0" w:color="auto"/>
                        <w:left w:val="none" w:sz="0" w:space="0" w:color="auto"/>
                        <w:bottom w:val="none" w:sz="0" w:space="0" w:color="auto"/>
                        <w:right w:val="none" w:sz="0" w:space="0" w:color="auto"/>
                      </w:divBdr>
                      <w:divsChild>
                        <w:div w:id="1832521285">
                          <w:marLeft w:val="0"/>
                          <w:marRight w:val="0"/>
                          <w:marTop w:val="0"/>
                          <w:marBottom w:val="0"/>
                          <w:divBdr>
                            <w:top w:val="none" w:sz="0" w:space="0" w:color="auto"/>
                            <w:left w:val="none" w:sz="0" w:space="0" w:color="auto"/>
                            <w:bottom w:val="none" w:sz="0" w:space="0" w:color="auto"/>
                            <w:right w:val="none" w:sz="0" w:space="0" w:color="auto"/>
                          </w:divBdr>
                          <w:divsChild>
                            <w:div w:id="11470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010917">
      <w:bodyDiv w:val="1"/>
      <w:marLeft w:val="0"/>
      <w:marRight w:val="0"/>
      <w:marTop w:val="0"/>
      <w:marBottom w:val="0"/>
      <w:divBdr>
        <w:top w:val="none" w:sz="0" w:space="0" w:color="auto"/>
        <w:left w:val="none" w:sz="0" w:space="0" w:color="auto"/>
        <w:bottom w:val="none" w:sz="0" w:space="0" w:color="auto"/>
        <w:right w:val="none" w:sz="0" w:space="0" w:color="auto"/>
      </w:divBdr>
      <w:divsChild>
        <w:div w:id="116724169">
          <w:marLeft w:val="0"/>
          <w:marRight w:val="0"/>
          <w:marTop w:val="0"/>
          <w:marBottom w:val="0"/>
          <w:divBdr>
            <w:top w:val="none" w:sz="0" w:space="0" w:color="auto"/>
            <w:left w:val="none" w:sz="0" w:space="0" w:color="auto"/>
            <w:bottom w:val="none" w:sz="0" w:space="0" w:color="auto"/>
            <w:right w:val="none" w:sz="0" w:space="0" w:color="auto"/>
          </w:divBdr>
          <w:divsChild>
            <w:div w:id="910500617">
              <w:marLeft w:val="0"/>
              <w:marRight w:val="0"/>
              <w:marTop w:val="0"/>
              <w:marBottom w:val="0"/>
              <w:divBdr>
                <w:top w:val="none" w:sz="0" w:space="0" w:color="auto"/>
                <w:left w:val="none" w:sz="0" w:space="0" w:color="auto"/>
                <w:bottom w:val="none" w:sz="0" w:space="0" w:color="auto"/>
                <w:right w:val="none" w:sz="0" w:space="0" w:color="auto"/>
              </w:divBdr>
            </w:div>
            <w:div w:id="663893726">
              <w:marLeft w:val="0"/>
              <w:marRight w:val="0"/>
              <w:marTop w:val="0"/>
              <w:marBottom w:val="0"/>
              <w:divBdr>
                <w:top w:val="none" w:sz="0" w:space="0" w:color="auto"/>
                <w:left w:val="none" w:sz="0" w:space="0" w:color="auto"/>
                <w:bottom w:val="none" w:sz="0" w:space="0" w:color="auto"/>
                <w:right w:val="none" w:sz="0" w:space="0" w:color="auto"/>
              </w:divBdr>
            </w:div>
            <w:div w:id="18569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173116">
      <w:bodyDiv w:val="1"/>
      <w:marLeft w:val="0"/>
      <w:marRight w:val="0"/>
      <w:marTop w:val="0"/>
      <w:marBottom w:val="0"/>
      <w:divBdr>
        <w:top w:val="none" w:sz="0" w:space="0" w:color="auto"/>
        <w:left w:val="none" w:sz="0" w:space="0" w:color="auto"/>
        <w:bottom w:val="none" w:sz="0" w:space="0" w:color="auto"/>
        <w:right w:val="none" w:sz="0" w:space="0" w:color="auto"/>
      </w:divBdr>
      <w:divsChild>
        <w:div w:id="693962302">
          <w:marLeft w:val="0"/>
          <w:marRight w:val="0"/>
          <w:marTop w:val="0"/>
          <w:marBottom w:val="0"/>
          <w:divBdr>
            <w:top w:val="none" w:sz="0" w:space="0" w:color="auto"/>
            <w:left w:val="none" w:sz="0" w:space="0" w:color="auto"/>
            <w:bottom w:val="none" w:sz="0" w:space="0" w:color="auto"/>
            <w:right w:val="none" w:sz="0" w:space="0" w:color="auto"/>
          </w:divBdr>
          <w:divsChild>
            <w:div w:id="560747739">
              <w:marLeft w:val="0"/>
              <w:marRight w:val="0"/>
              <w:marTop w:val="0"/>
              <w:marBottom w:val="0"/>
              <w:divBdr>
                <w:top w:val="none" w:sz="0" w:space="0" w:color="auto"/>
                <w:left w:val="none" w:sz="0" w:space="0" w:color="auto"/>
                <w:bottom w:val="none" w:sz="0" w:space="0" w:color="auto"/>
                <w:right w:val="none" w:sz="0" w:space="0" w:color="auto"/>
              </w:divBdr>
            </w:div>
            <w:div w:id="1683316245">
              <w:marLeft w:val="0"/>
              <w:marRight w:val="0"/>
              <w:marTop w:val="0"/>
              <w:marBottom w:val="0"/>
              <w:divBdr>
                <w:top w:val="none" w:sz="0" w:space="0" w:color="auto"/>
                <w:left w:val="none" w:sz="0" w:space="0" w:color="auto"/>
                <w:bottom w:val="none" w:sz="0" w:space="0" w:color="auto"/>
                <w:right w:val="none" w:sz="0" w:space="0" w:color="auto"/>
              </w:divBdr>
            </w:div>
            <w:div w:id="174498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hyperlink" Target="http://tiny.cc/ecv-review" TargetMode="External"/><Relationship Id="rId2" Type="http://schemas.openxmlformats.org/officeDocument/2006/relationships/numbering" Target="numbering.xml"/><Relationship Id="rId16" Type="http://schemas.openxmlformats.org/officeDocument/2006/relationships/hyperlink" Target="http://tiny.cc/ecv-revie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pcc-nggip.iges.or.jp/public/2019rf/index.html" TargetMode="External"/><Relationship Id="rId5" Type="http://schemas.openxmlformats.org/officeDocument/2006/relationships/settings" Target="settings.xml"/><Relationship Id="rId15" Type="http://schemas.openxmlformats.org/officeDocument/2006/relationships/hyperlink" Target="http://tiny.cc/ecv-review" TargetMode="External"/><Relationship Id="rId23" Type="http://schemas.openxmlformats.org/officeDocument/2006/relationships/customXml" Target="../customXml/item4.xml"/><Relationship Id="rId10" Type="http://schemas.openxmlformats.org/officeDocument/2006/relationships/hyperlink" Target="http://tiny.cc/ecv-review"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hyperlink" Target="http://tiny.cc/ecv-review" TargetMode="External"/><Relationship Id="rId22"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A667A0D92734D1E8A4F7CACBFF79499"/>
        <w:category>
          <w:name w:val="General"/>
          <w:gallery w:val="placeholder"/>
        </w:category>
        <w:types>
          <w:type w:val="bbPlcHdr"/>
        </w:types>
        <w:behaviors>
          <w:behavior w:val="content"/>
        </w:behaviors>
        <w:guid w:val="{39E2EC7F-B5EA-4A2B-B53B-5C1D5C4B1E27}"/>
      </w:docPartPr>
      <w:docPartBody>
        <w:p w:rsidR="00C43782" w:rsidRDefault="00DA79DD" w:rsidP="00DA79DD">
          <w:pPr>
            <w:pStyle w:val="0A667A0D92734D1E8A4F7CACBFF79499"/>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1364B9" w:rsidRDefault="00C43782" w:rsidP="00C43782">
          <w:pPr>
            <w:pStyle w:val="0F33D853C9184F02A6C7ACEC3F269683"/>
          </w:pPr>
          <w:r w:rsidRPr="00697ACC">
            <w:rPr>
              <w:rStyle w:val="PlaceholderText"/>
            </w:rPr>
            <w:t>Click here to enter text.</w:t>
          </w:r>
        </w:p>
      </w:docPartBody>
    </w:docPart>
    <w:docPart>
      <w:docPartPr>
        <w:name w:val="F727F80E020044E7B692E09EA6CAA4DD"/>
        <w:category>
          <w:name w:val="General"/>
          <w:gallery w:val="placeholder"/>
        </w:category>
        <w:types>
          <w:type w:val="bbPlcHdr"/>
        </w:types>
        <w:behaviors>
          <w:behavior w:val="content"/>
        </w:behaviors>
        <w:guid w:val="{CDD23F2A-5B01-4F38-9AB3-30E07A181E5F}"/>
      </w:docPartPr>
      <w:docPartBody>
        <w:p w:rsidR="001364B9" w:rsidRDefault="001364B9" w:rsidP="001364B9">
          <w:pPr>
            <w:pStyle w:val="F727F80E020044E7B692E09EA6CAA4DD"/>
          </w:pPr>
          <w:r w:rsidRPr="00697ACC">
            <w:rPr>
              <w:rStyle w:val="PlaceholderText"/>
            </w:rPr>
            <w:t>Click here to enter text.</w:t>
          </w:r>
        </w:p>
      </w:docPartBody>
    </w:docPart>
    <w:docPart>
      <w:docPartPr>
        <w:name w:val="A38F999594F5450E831248EBC6E6147E"/>
        <w:category>
          <w:name w:val="General"/>
          <w:gallery w:val="placeholder"/>
        </w:category>
        <w:types>
          <w:type w:val="bbPlcHdr"/>
        </w:types>
        <w:behaviors>
          <w:behavior w:val="content"/>
        </w:behaviors>
        <w:guid w:val="{A229272C-ACAC-4664-B0B3-0A24CB6D05C8}"/>
      </w:docPartPr>
      <w:docPartBody>
        <w:p w:rsidR="001364B9" w:rsidRDefault="001364B9" w:rsidP="001364B9">
          <w:pPr>
            <w:pStyle w:val="A38F999594F5450E831248EBC6E6147E"/>
          </w:pPr>
          <w:r w:rsidRPr="00697ACC">
            <w:rPr>
              <w:rStyle w:val="PlaceholderText"/>
            </w:rPr>
            <w:t>Click here to enter text.</w:t>
          </w:r>
        </w:p>
      </w:docPartBody>
    </w:docPart>
    <w:docPart>
      <w:docPartPr>
        <w:name w:val="0F5D6DB1A5C34176A129322B98A4906F"/>
        <w:category>
          <w:name w:val="General"/>
          <w:gallery w:val="placeholder"/>
        </w:category>
        <w:types>
          <w:type w:val="bbPlcHdr"/>
        </w:types>
        <w:behaviors>
          <w:behavior w:val="content"/>
        </w:behaviors>
        <w:guid w:val="{B736641C-9EED-4EB1-8CC3-8DF95ED35759}"/>
      </w:docPartPr>
      <w:docPartBody>
        <w:p w:rsidR="00000000" w:rsidRDefault="001364B9" w:rsidP="001364B9">
          <w:pPr>
            <w:pStyle w:val="0F5D6DB1A5C34176A129322B98A4906F"/>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364B9"/>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64B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F727F80E020044E7B692E09EA6CAA4DD">
    <w:name w:val="F727F80E020044E7B692E09EA6CAA4DD"/>
    <w:rsid w:val="001364B9"/>
  </w:style>
  <w:style w:type="paragraph" w:customStyle="1" w:styleId="3C1628209967438E8E6A92EF61B120E9">
    <w:name w:val="3C1628209967438E8E6A92EF61B120E9"/>
    <w:rsid w:val="001364B9"/>
  </w:style>
  <w:style w:type="paragraph" w:customStyle="1" w:styleId="A38F999594F5450E831248EBC6E6147E">
    <w:name w:val="A38F999594F5450E831248EBC6E6147E"/>
    <w:rsid w:val="001364B9"/>
  </w:style>
  <w:style w:type="paragraph" w:customStyle="1" w:styleId="0F5D6DB1A5C34176A129322B98A4906F">
    <w:name w:val="0F5D6DB1A5C34176A129322B98A4906F"/>
    <w:rsid w:val="001364B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64B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F727F80E020044E7B692E09EA6CAA4DD">
    <w:name w:val="F727F80E020044E7B692E09EA6CAA4DD"/>
    <w:rsid w:val="001364B9"/>
  </w:style>
  <w:style w:type="paragraph" w:customStyle="1" w:styleId="3C1628209967438E8E6A92EF61B120E9">
    <w:name w:val="3C1628209967438E8E6A92EF61B120E9"/>
    <w:rsid w:val="001364B9"/>
  </w:style>
  <w:style w:type="paragraph" w:customStyle="1" w:styleId="A38F999594F5450E831248EBC6E6147E">
    <w:name w:val="A38F999594F5450E831248EBC6E6147E"/>
    <w:rsid w:val="001364B9"/>
  </w:style>
  <w:style w:type="paragraph" w:customStyle="1" w:styleId="0F5D6DB1A5C34176A129322B98A4906F">
    <w:name w:val="0F5D6DB1A5C34176A129322B98A4906F"/>
    <w:rsid w:val="001364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D85EFE-7AEC-4B01-A692-D5C43D32DE22}">
  <ds:schemaRefs>
    <ds:schemaRef ds:uri="http://schemas.openxmlformats.org/officeDocument/2006/bibliography"/>
  </ds:schemaRefs>
</ds:datastoreItem>
</file>

<file path=customXml/itemProps2.xml><?xml version="1.0" encoding="utf-8"?>
<ds:datastoreItem xmlns:ds="http://schemas.openxmlformats.org/officeDocument/2006/customXml" ds:itemID="{C61F1595-6F6A-4D13-8463-DA3002E449D5}"/>
</file>

<file path=customXml/itemProps3.xml><?xml version="1.0" encoding="utf-8"?>
<ds:datastoreItem xmlns:ds="http://schemas.openxmlformats.org/officeDocument/2006/customXml" ds:itemID="{2CC66310-6EF3-4F93-9DA0-1814ED4F9181}"/>
</file>

<file path=customXml/itemProps4.xml><?xml version="1.0" encoding="utf-8"?>
<ds:datastoreItem xmlns:ds="http://schemas.openxmlformats.org/officeDocument/2006/customXml" ds:itemID="{A0664F13-EC0B-4E63-A3F5-E2F635AA70BC}"/>
</file>

<file path=docProps/app.xml><?xml version="1.0" encoding="utf-8"?>
<Properties xmlns="http://schemas.openxmlformats.org/officeDocument/2006/extended-properties" xmlns:vt="http://schemas.openxmlformats.org/officeDocument/2006/docPropsVTypes">
  <Template>Normal.dotm</Template>
  <TotalTime>25</TotalTime>
  <Pages>16</Pages>
  <Words>2827</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2020-03-19T18:09:00Z</dcterms:created>
  <dcterms:modified xsi:type="dcterms:W3CDTF">2020-03-19T18:34:00Z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