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542942" w:rsidP="000768AB">
      <w:pPr>
        <w:pStyle w:val="Heading1"/>
      </w:pPr>
      <w:r w:rsidRPr="00542942">
        <w:t>Subsurface salinity</w:t>
      </w:r>
    </w:p>
    <w:p w:rsidR="009029F2" w:rsidRDefault="000251F0" w:rsidP="00542942">
      <w:pPr>
        <w:pStyle w:val="Heading2"/>
      </w:pPr>
      <w:r w:rsidRPr="009029F2">
        <w:t xml:space="preserve">ECV Product: </w:t>
      </w:r>
      <w:sdt>
        <w:sdtPr>
          <w:id w:val="134147333"/>
          <w:placeholder>
            <w:docPart w:val="DefaultPlaceholder_1082065158"/>
          </w:placeholder>
        </w:sdtPr>
        <w:sdtEndPr/>
        <w:sdtContent>
          <w:r w:rsidR="00542942" w:rsidRPr="00542942">
            <w:t>Interior salinity</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236"/>
        <w:gridCol w:w="5598"/>
      </w:tblGrid>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Interior salinity</w:t>
            </w:r>
          </w:p>
        </w:tc>
      </w:tr>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xml:space="preserve">Salinity of seawater, at or near the surface - Salinity is </w:t>
            </w:r>
            <w:proofErr w:type="spellStart"/>
            <w:r>
              <w:rPr>
                <w:color w:val="222222"/>
                <w:sz w:val="16"/>
                <w:szCs w:val="16"/>
                <w:bdr w:val="none" w:sz="0" w:space="0" w:color="auto" w:frame="1"/>
              </w:rPr>
              <w:t>unitless</w:t>
            </w:r>
            <w:proofErr w:type="spellEnd"/>
            <w:r>
              <w:rPr>
                <w:color w:val="222222"/>
                <w:sz w:val="16"/>
                <w:szCs w:val="16"/>
                <w:bdr w:val="none" w:sz="0" w:space="0" w:color="auto" w:frame="1"/>
              </w:rPr>
              <w:t xml:space="preserve">, and is expressed with the suffix </w:t>
            </w:r>
            <w:proofErr w:type="spellStart"/>
            <w:r>
              <w:rPr>
                <w:color w:val="222222"/>
                <w:sz w:val="16"/>
                <w:szCs w:val="16"/>
                <w:bdr w:val="none" w:sz="0" w:space="0" w:color="auto" w:frame="1"/>
              </w:rPr>
              <w:t>psu</w:t>
            </w:r>
            <w:proofErr w:type="spellEnd"/>
            <w:r>
              <w:rPr>
                <w:color w:val="222222"/>
                <w:sz w:val="16"/>
                <w:szCs w:val="16"/>
                <w:bdr w:val="none" w:sz="0" w:space="0" w:color="auto" w:frame="1"/>
              </w:rPr>
              <w:t xml:space="preserve"> (practical salinity unit, PSS-78).</w:t>
            </w:r>
          </w:p>
        </w:tc>
      </w:tr>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jc w:val="center"/>
              <w:rPr>
                <w:color w:val="222222"/>
                <w:sz w:val="24"/>
                <w:szCs w:val="24"/>
              </w:rPr>
            </w:pPr>
            <w:r>
              <w:rPr>
                <w:b/>
                <w:bCs/>
                <w:color w:val="FFFFFF"/>
                <w:sz w:val="16"/>
                <w:szCs w:val="16"/>
                <w:bdr w:val="none" w:sz="0" w:space="0" w:color="auto" w:frame="1"/>
              </w:rPr>
              <w:t>Requirements</w:t>
            </w:r>
          </w:p>
        </w:tc>
      </w:tr>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rFonts w:ascii="Calibri" w:hAnsi="Calibri"/>
                <w:b/>
                <w:bCs/>
                <w:color w:val="1155CC"/>
                <w:sz w:val="16"/>
                <w:szCs w:val="16"/>
                <w:bdr w:val="none" w:sz="0" w:space="0" w:color="auto" w:frame="1"/>
              </w:rPr>
              <w:t>[1]</w:t>
            </w:r>
          </w:p>
        </w:tc>
        <w:tc>
          <w:tcPr>
            <w:tcW w:w="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Value</w:t>
            </w:r>
          </w:p>
        </w:tc>
        <w:tc>
          <w:tcPr>
            <w:tcW w:w="25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Derivation and References and Standards</w:t>
            </w:r>
          </w:p>
        </w:tc>
      </w:tr>
      <w:tr w:rsidR="00542942" w:rsidTr="0054294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1</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10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daily</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monthly</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rPr>
          <w:trHeight w:val="207"/>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spacing w:line="207" w:lineRule="atLeast"/>
              <w:jc w:val="cente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spacing w:line="207" w:lineRule="atLeast"/>
              <w:rPr>
                <w:color w:val="222222"/>
                <w:sz w:val="24"/>
                <w:szCs w:val="24"/>
              </w:rPr>
            </w:pPr>
            <w:r>
              <w:rPr>
                <w:color w:val="222222"/>
                <w:sz w:val="16"/>
                <w:szCs w:val="16"/>
                <w:bdr w:val="none" w:sz="0" w:space="0" w:color="auto" w:frame="1"/>
              </w:rPr>
              <w:t>0.1</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spacing w:line="207" w:lineRule="atLeast"/>
              <w:rPr>
                <w:color w:val="222222"/>
                <w:sz w:val="24"/>
                <w:szCs w:val="24"/>
              </w:rPr>
            </w:pPr>
            <w:r>
              <w:rPr>
                <w:color w:val="222222"/>
                <w:sz w:val="16"/>
                <w:szCs w:val="16"/>
                <w:bdr w:val="none" w:sz="0" w:space="0" w:color="auto" w:frame="1"/>
              </w:rPr>
              <w:t> </w:t>
            </w:r>
          </w:p>
        </w:tc>
      </w:tr>
      <w:tr w:rsidR="00542942" w:rsidTr="0054294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r w:rsidR="00542942" w:rsidTr="0054294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jc w:val="center"/>
              <w:rPr>
                <w:color w:val="222222"/>
                <w:sz w:val="24"/>
                <w:szCs w:val="24"/>
              </w:rPr>
            </w:pPr>
            <w:r>
              <w:rPr>
                <w:b/>
                <w:bCs/>
                <w:color w:val="FFFFFF"/>
                <w:sz w:val="16"/>
                <w:szCs w:val="16"/>
                <w:bdr w:val="none" w:sz="0" w:space="0" w:color="auto" w:frame="1"/>
              </w:rPr>
              <w:t>Adaptation and Extremes</w:t>
            </w:r>
          </w:p>
        </w:tc>
      </w:tr>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xml:space="preserve">Relevant? </w:t>
            </w:r>
            <w:r>
              <w:rPr>
                <w:color w:val="222222"/>
                <w:sz w:val="16"/>
                <w:szCs w:val="16"/>
                <w:bdr w:val="none" w:sz="0" w:space="0" w:color="auto" w:frame="1"/>
              </w:rPr>
              <w:lastRenderedPageBreak/>
              <w:t>(Yes/No)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proofErr w:type="spellStart"/>
            <w:r>
              <w:rPr>
                <w:color w:val="222222"/>
                <w:sz w:val="16"/>
                <w:szCs w:val="16"/>
                <w:bdr w:val="none" w:sz="0" w:space="0" w:color="auto" w:frame="1"/>
              </w:rPr>
              <w:lastRenderedPageBreak/>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lastRenderedPageBreak/>
              <w:t>Explanation</w:t>
            </w:r>
          </w:p>
        </w:tc>
      </w:tr>
      <w:tr w:rsidR="00542942" w:rsidTr="0054294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r w:rsidR="00542942" w:rsidTr="00542942">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bl>
    <w:p w:rsidR="00542942" w:rsidRDefault="00542942" w:rsidP="00542942">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542942" w:rsidRDefault="00542942" w:rsidP="00542942">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542942" w:rsidRPr="00542942" w:rsidRDefault="00542942" w:rsidP="0054294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542942">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542942" w:rsidRPr="00542942" w:rsidRDefault="00542942" w:rsidP="0054294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542942" w:rsidRPr="00542942" w:rsidRDefault="00542942" w:rsidP="00542942">
      <w:pPr>
        <w:pStyle w:val="NormalWeb"/>
        <w:shd w:val="clear" w:color="auto" w:fill="FFFFFF"/>
        <w:spacing w:before="0" w:beforeAutospacing="0" w:after="0" w:afterAutospacing="0"/>
        <w:rPr>
          <w:rFonts w:ascii="Arial" w:hAnsi="Arial" w:cs="Arial"/>
          <w:color w:val="222222"/>
          <w:sz w:val="20"/>
          <w:szCs w:val="20"/>
          <w:lang w:val="en-US"/>
        </w:rPr>
      </w:pPr>
      <w:bookmarkStart w:id="0" w:name="00606eee-b424-474f-88d9-df9da5a1588d@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542942" w:rsidP="00542942">
      <w:pPr>
        <w:pStyle w:val="Heading3"/>
      </w:pPr>
      <w:r w:rsidRPr="009029F2">
        <w:t xml:space="preserve"> </w:t>
      </w:r>
      <w:r w:rsidR="00215C42"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542942">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542942">
                  <w:rPr>
                    <w:sz w:val="20"/>
                    <w:szCs w:val="20"/>
                  </w:rPr>
                  <w:t xml:space="preserve">Rachel </w:t>
                </w:r>
                <w:proofErr w:type="spellStart"/>
                <w:r w:rsidR="00542942">
                  <w:rPr>
                    <w:sz w:val="20"/>
                    <w:szCs w:val="20"/>
                  </w:rPr>
                  <w:t>Killick</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542942" w:rsidRPr="00542942">
                  <w:rPr>
                    <w:sz w:val="20"/>
                    <w:szCs w:val="20"/>
                  </w:rPr>
                  <w:t>rachelewarren91@gmail.com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542942" w:rsidRPr="00542942" w:rsidRDefault="00542942" w:rsidP="00542942">
                <w:pPr>
                  <w:rPr>
                    <w:sz w:val="20"/>
                    <w:szCs w:val="20"/>
                  </w:rPr>
                </w:pPr>
                <w:r w:rsidRPr="00542942">
                  <w:rPr>
                    <w:sz w:val="20"/>
                    <w:szCs w:val="20"/>
                  </w:rPr>
                  <w:t>Unit = 1 if practical salinity to be CF compliant (http://cfconventions.org/Data/cf-standard-names/72/build/cf-standard-name-table.html)</w:t>
                </w:r>
              </w:p>
              <w:p w:rsidR="00542942" w:rsidRPr="00542942" w:rsidRDefault="00542942" w:rsidP="00542942">
                <w:pPr>
                  <w:rPr>
                    <w:sz w:val="20"/>
                    <w:szCs w:val="20"/>
                  </w:rPr>
                </w:pPr>
                <w:r w:rsidRPr="00542942">
                  <w:rPr>
                    <w:sz w:val="20"/>
                    <w:szCs w:val="20"/>
                  </w:rPr>
                  <w:t>Most of these comments are based on answers from a recent user requirements survey for the Met Office Hadley Centre EN4 database and relate to both subsurface temperature and subsurface salinity:</w:t>
                </w:r>
              </w:p>
              <w:p w:rsidR="00542942" w:rsidRPr="00542942" w:rsidRDefault="00542942" w:rsidP="00542942">
                <w:pPr>
                  <w:rPr>
                    <w:sz w:val="20"/>
                    <w:szCs w:val="20"/>
                  </w:rPr>
                </w:pPr>
                <w:r w:rsidRPr="00542942">
                  <w:rPr>
                    <w:sz w:val="20"/>
                    <w:szCs w:val="20"/>
                  </w:rPr>
                  <w:t>Timeliness: Less than one month lag is good for allowing validation of NRT products. Providing preliminary files even before the month is complete has been asked for by a few users.</w:t>
                </w:r>
              </w:p>
              <w:p w:rsidR="00542942" w:rsidRPr="00542942" w:rsidRDefault="00542942" w:rsidP="00542942">
                <w:pPr>
                  <w:rPr>
                    <w:sz w:val="20"/>
                    <w:szCs w:val="20"/>
                  </w:rPr>
                </w:pPr>
                <w:r w:rsidRPr="00542942">
                  <w:rPr>
                    <w:sz w:val="20"/>
                    <w:szCs w:val="20"/>
                  </w:rPr>
                  <w:t xml:space="preserve">Over 25% of users use the monthly updates for either </w:t>
                </w:r>
                <w:proofErr w:type="spellStart"/>
                <w:r w:rsidRPr="00542942">
                  <w:rPr>
                    <w:sz w:val="20"/>
                    <w:szCs w:val="20"/>
                  </w:rPr>
                  <w:t>sea_water_potential_temperature</w:t>
                </w:r>
                <w:proofErr w:type="spellEnd"/>
                <w:r w:rsidRPr="00542942">
                  <w:rPr>
                    <w:sz w:val="20"/>
                    <w:szCs w:val="20"/>
                  </w:rPr>
                  <w:t xml:space="preserve"> or salinity.</w:t>
                </w:r>
              </w:p>
              <w:p w:rsidR="00542942" w:rsidRPr="00542942" w:rsidRDefault="00542942" w:rsidP="00542942">
                <w:pPr>
                  <w:rPr>
                    <w:sz w:val="20"/>
                    <w:szCs w:val="20"/>
                  </w:rPr>
                </w:pPr>
                <w:r w:rsidRPr="00542942">
                  <w:rPr>
                    <w:sz w:val="20"/>
                    <w:szCs w:val="20"/>
                  </w:rPr>
                  <w:t>No users expressed concern with the monthly resolution of the dataset, although the profile data themselves are higher resolution.</w:t>
                </w:r>
              </w:p>
              <w:p w:rsidR="00542942" w:rsidRPr="00542942" w:rsidRDefault="00542942" w:rsidP="00542942">
                <w:pPr>
                  <w:rPr>
                    <w:sz w:val="20"/>
                    <w:szCs w:val="20"/>
                  </w:rPr>
                </w:pPr>
                <w:r w:rsidRPr="00542942">
                  <w:rPr>
                    <w:sz w:val="20"/>
                    <w:szCs w:val="20"/>
                  </w:rPr>
                  <w:t>Temporal resolution: When asked if they wanted very high resolution data averaged (typically data reporting at a frequency greater than one value per hour at the exact location e.g. from a buoy) the majority of users said yes (37 out of 56), of the 37, 21 wanted daily averages/sub-samples with fewer wanting 6-hourly or hourly averages.</w:t>
                </w:r>
              </w:p>
              <w:p w:rsidR="00542942" w:rsidRPr="00542942" w:rsidRDefault="00542942" w:rsidP="00542942">
                <w:pPr>
                  <w:rPr>
                    <w:sz w:val="20"/>
                    <w:szCs w:val="20"/>
                  </w:rPr>
                </w:pPr>
                <w:r w:rsidRPr="00542942">
                  <w:rPr>
                    <w:sz w:val="20"/>
                    <w:szCs w:val="20"/>
                  </w:rPr>
                  <w:t>Horizontal resolution (for gridded analyses): currently these are served in 1 by 1 degree grid boxes, only 12 respondents said this had prevented them working with the data, of these, 8 said that a 0.25 degree resolution would be better and this is still larger than the threshold 10km resolution given here.</w:t>
                </w:r>
              </w:p>
              <w:p w:rsidR="00542942" w:rsidRPr="00542942" w:rsidRDefault="00542942" w:rsidP="00542942">
                <w:pPr>
                  <w:rPr>
                    <w:sz w:val="20"/>
                    <w:szCs w:val="20"/>
                  </w:rPr>
                </w:pPr>
                <w:r w:rsidRPr="00542942">
                  <w:rPr>
                    <w:sz w:val="20"/>
                    <w:szCs w:val="20"/>
                  </w:rPr>
                  <w:t>Vertical resolution: It is beneficial to have high resolution near the surface where data change more rapidly. (e.g. measurements every 1m).</w:t>
                </w:r>
              </w:p>
              <w:p w:rsidR="009029F2" w:rsidRPr="009029F2" w:rsidRDefault="00542942" w:rsidP="00542942">
                <w:pPr>
                  <w:rPr>
                    <w:sz w:val="20"/>
                    <w:szCs w:val="20"/>
                  </w:rPr>
                </w:pPr>
                <w:r w:rsidRPr="00542942">
                  <w:rPr>
                    <w:sz w:val="20"/>
                    <w:szCs w:val="20"/>
                  </w:rPr>
                  <w:t>Uncertainties: 28 people were unsure if they would use measurement uncertainties provided with profile data, but a further 38 answered that they would be very likely or quite likely to use them, with only 10 answering quite unlikely or very unlikely. The most common reasons given for using these uncertainties were for use in explaining scientific results and to enable users to propagate uncertainties in averages and other derived quantities.</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42942">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542942">
                  <w:rPr>
                    <w:sz w:val="20"/>
                    <w:szCs w:val="20"/>
                  </w:rPr>
                  <w:t>ECMWF</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542942" w:rsidRPr="00542942">
                  <w:rPr>
                    <w:sz w:val="20"/>
                    <w:szCs w:val="20"/>
                  </w:rPr>
                  <w:t>ecresgcosreqs@gmail.com</w:t>
                </w:r>
              </w:sdtContent>
            </w:sdt>
          </w:p>
        </w:tc>
      </w:tr>
      <w:tr w:rsidR="00345D91" w:rsidTr="0051264A">
        <w:tc>
          <w:tcPr>
            <w:tcW w:w="5000" w:type="pct"/>
            <w:gridSpan w:val="2"/>
          </w:tcPr>
          <w:p w:rsidR="00345D91" w:rsidRPr="009029F2" w:rsidRDefault="004D5F5D" w:rsidP="00542942">
            <w:pPr>
              <w:rPr>
                <w:sz w:val="20"/>
                <w:szCs w:val="20"/>
              </w:rPr>
            </w:pPr>
            <w:sdt>
              <w:sdtPr>
                <w:rPr>
                  <w:sz w:val="20"/>
                  <w:szCs w:val="20"/>
                </w:rPr>
                <w:id w:val="1884671643"/>
                <w:placeholder>
                  <w:docPart w:val="E56385914738445486E36D662855BE87"/>
                </w:placeholder>
              </w:sdtPr>
              <w:sdtEndPr/>
              <w:sdtContent>
                <w:r w:rsidR="00542942">
                  <w:rPr>
                    <w:sz w:val="20"/>
                    <w:szCs w:val="20"/>
                  </w:rPr>
                  <w:t>See below Table</w:t>
                </w:r>
              </w:sdtContent>
            </w:sdt>
          </w:p>
        </w:tc>
      </w:tr>
    </w:tbl>
    <w:tbl>
      <w:tblPr>
        <w:tblW w:w="5000" w:type="pct"/>
        <w:shd w:val="clear" w:color="auto" w:fill="FFFFFF"/>
        <w:tblCellMar>
          <w:left w:w="0" w:type="dxa"/>
          <w:right w:w="0" w:type="dxa"/>
        </w:tblCellMar>
        <w:tblLook w:val="04A0" w:firstRow="1" w:lastRow="0" w:firstColumn="1" w:lastColumn="0" w:noHBand="0" w:noVBand="1"/>
      </w:tblPr>
      <w:tblGrid>
        <w:gridCol w:w="1353"/>
        <w:gridCol w:w="1260"/>
        <w:gridCol w:w="1461"/>
        <w:gridCol w:w="460"/>
        <w:gridCol w:w="1287"/>
        <w:gridCol w:w="5195"/>
      </w:tblGrid>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Name</w:t>
            </w:r>
          </w:p>
        </w:tc>
        <w:tc>
          <w:tcPr>
            <w:tcW w:w="438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Interior salinity</w:t>
            </w:r>
          </w:p>
        </w:tc>
      </w:tr>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Definition</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xml:space="preserve">Salinity of seawater, at or near the surface - Salinity is </w:t>
            </w:r>
            <w:proofErr w:type="spellStart"/>
            <w:r>
              <w:rPr>
                <w:color w:val="222222"/>
                <w:sz w:val="16"/>
                <w:szCs w:val="16"/>
                <w:bdr w:val="none" w:sz="0" w:space="0" w:color="auto" w:frame="1"/>
              </w:rPr>
              <w:t>unitless</w:t>
            </w:r>
            <w:proofErr w:type="spellEnd"/>
            <w:r>
              <w:rPr>
                <w:color w:val="222222"/>
                <w:sz w:val="16"/>
                <w:szCs w:val="16"/>
                <w:bdr w:val="none" w:sz="0" w:space="0" w:color="auto" w:frame="1"/>
              </w:rPr>
              <w:t xml:space="preserve">, and is expressed with the suffix </w:t>
            </w:r>
            <w:proofErr w:type="spellStart"/>
            <w:r>
              <w:rPr>
                <w:color w:val="222222"/>
                <w:sz w:val="16"/>
                <w:szCs w:val="16"/>
                <w:bdr w:val="none" w:sz="0" w:space="0" w:color="auto" w:frame="1"/>
              </w:rPr>
              <w:t>psu</w:t>
            </w:r>
            <w:proofErr w:type="spellEnd"/>
            <w:r>
              <w:rPr>
                <w:color w:val="222222"/>
                <w:sz w:val="16"/>
                <w:szCs w:val="16"/>
                <w:bdr w:val="none" w:sz="0" w:space="0" w:color="auto" w:frame="1"/>
              </w:rPr>
              <w:t xml:space="preserve"> (practical salinity unit, PSS-78).</w:t>
            </w:r>
          </w:p>
        </w:tc>
      </w:tr>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Unit</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Note</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jc w:val="center"/>
              <w:rPr>
                <w:color w:val="222222"/>
                <w:sz w:val="24"/>
                <w:szCs w:val="24"/>
              </w:rPr>
            </w:pPr>
            <w:r>
              <w:rPr>
                <w:b/>
                <w:bCs/>
                <w:color w:val="FFFFFF"/>
                <w:sz w:val="16"/>
                <w:szCs w:val="16"/>
                <w:bdr w:val="none" w:sz="0" w:space="0" w:color="auto" w:frame="1"/>
              </w:rPr>
              <w:t>Requirements</w:t>
            </w:r>
          </w:p>
        </w:tc>
      </w:tr>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jc w:val="center"/>
              <w:rPr>
                <w:color w:val="222222"/>
                <w:sz w:val="24"/>
                <w:szCs w:val="24"/>
              </w:rPr>
            </w:pPr>
            <w:r>
              <w:rPr>
                <w:b/>
                <w:bCs/>
                <w:color w:val="FFFFFF"/>
                <w:sz w:val="16"/>
                <w:szCs w:val="16"/>
                <w:bdr w:val="none" w:sz="0" w:space="0" w:color="auto" w:frame="1"/>
              </w:rPr>
              <w:t>Item needed</w:t>
            </w:r>
          </w:p>
        </w:tc>
        <w:tc>
          <w:tcPr>
            <w:tcW w:w="57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Unit</w:t>
            </w:r>
          </w:p>
        </w:tc>
        <w:tc>
          <w:tcPr>
            <w:tcW w:w="66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rFonts w:ascii="Calibri" w:hAnsi="Calibri"/>
                <w:b/>
                <w:bCs/>
                <w:color w:val="1155CC"/>
                <w:sz w:val="16"/>
                <w:szCs w:val="16"/>
                <w:bdr w:val="none" w:sz="0" w:space="0" w:color="auto" w:frame="1"/>
              </w:rPr>
              <w:t>[1]</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Value</w:t>
            </w:r>
          </w:p>
        </w:tc>
        <w:tc>
          <w:tcPr>
            <w:tcW w:w="23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b/>
                <w:bCs/>
                <w:color w:val="222222"/>
                <w:sz w:val="16"/>
                <w:szCs w:val="16"/>
                <w:bdr w:val="none" w:sz="0" w:space="0" w:color="auto" w:frame="1"/>
              </w:rPr>
              <w:t>Derivation and References and Standards</w:t>
            </w:r>
          </w:p>
        </w:tc>
      </w:tr>
      <w:tr w:rsidR="00542942" w:rsidTr="00542942">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Horizontal Resolution</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km</w:t>
            </w:r>
          </w:p>
        </w:tc>
        <w:tc>
          <w:tcPr>
            <w:tcW w:w="66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10</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100</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lastRenderedPageBreak/>
              <w:t>Vertical Resolution</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m</w:t>
            </w:r>
          </w:p>
        </w:tc>
        <w:tc>
          <w:tcPr>
            <w:tcW w:w="66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1 (upper ocean) 10 (deep ocean)</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10 (upper ocean) 100 (deep ocean)</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Temporal Resolution</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6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daily</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monthly</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Timeliness</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6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daily</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monthly</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Required Measurement Uncertainty</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proofErr w:type="spellStart"/>
            <w:r>
              <w:rPr>
                <w:color w:val="222222"/>
                <w:sz w:val="16"/>
                <w:szCs w:val="16"/>
                <w:bdr w:val="none" w:sz="0" w:space="0" w:color="auto" w:frame="1"/>
              </w:rPr>
              <w:t>psu</w:t>
            </w:r>
            <w:proofErr w:type="spellEnd"/>
          </w:p>
        </w:tc>
        <w:tc>
          <w:tcPr>
            <w:tcW w:w="66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0.05 (upper ocean) 0.02 (deep ocean)</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rPr>
          <w:trHeight w:val="207"/>
        </w:trPr>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spacing w:line="207" w:lineRule="atLeast"/>
              <w:jc w:val="center"/>
              <w:rPr>
                <w:color w:val="222222"/>
                <w:sz w:val="24"/>
                <w:szCs w:val="24"/>
              </w:rPr>
            </w:pPr>
            <w:r>
              <w:rPr>
                <w:color w:val="222222"/>
                <w:sz w:val="16"/>
                <w:szCs w:val="16"/>
                <w:bdr w:val="none" w:sz="0" w:space="0" w:color="auto" w:frame="1"/>
              </w:rPr>
              <w:t>T</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spacing w:line="207" w:lineRule="atLeast"/>
              <w:rPr>
                <w:color w:val="222222"/>
                <w:sz w:val="24"/>
                <w:szCs w:val="24"/>
              </w:rPr>
            </w:pPr>
            <w:r>
              <w:rPr>
                <w:color w:val="222222"/>
                <w:sz w:val="16"/>
                <w:szCs w:val="16"/>
                <w:bdr w:val="none" w:sz="0" w:space="0" w:color="auto" w:frame="1"/>
              </w:rPr>
              <w:t>0.1 (upper ocean) 0.05 (deep ocean)</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spacing w:line="207" w:lineRule="atLeast"/>
              <w:rPr>
                <w:color w:val="222222"/>
                <w:sz w:val="24"/>
                <w:szCs w:val="24"/>
              </w:rPr>
            </w:pPr>
            <w:r>
              <w:rPr>
                <w:color w:val="222222"/>
                <w:sz w:val="16"/>
                <w:szCs w:val="16"/>
                <w:bdr w:val="none" w:sz="0" w:space="0" w:color="auto" w:frame="1"/>
              </w:rPr>
              <w:t> </w:t>
            </w:r>
          </w:p>
        </w:tc>
      </w:tr>
      <w:tr w:rsidR="00542942" w:rsidTr="00542942">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Stability</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66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G</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B</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r w:rsidR="00542942" w:rsidTr="00542942">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542942" w:rsidRDefault="00542942">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542942" w:rsidRDefault="00542942">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T</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c>
          <w:tcPr>
            <w:tcW w:w="23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42942" w:rsidRDefault="00542942">
            <w:pPr>
              <w:rPr>
                <w:color w:val="222222"/>
                <w:sz w:val="24"/>
                <w:szCs w:val="24"/>
              </w:rPr>
            </w:pPr>
            <w:r>
              <w:rPr>
                <w:b/>
                <w:bCs/>
                <w:color w:val="FFFFFF"/>
                <w:sz w:val="16"/>
                <w:szCs w:val="16"/>
                <w:bdr w:val="none" w:sz="0" w:space="0" w:color="auto" w:frame="1"/>
              </w:rPr>
              <w:t>Standards and References</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222222"/>
                <w:sz w:val="16"/>
                <w:szCs w:val="16"/>
                <w:bdr w:val="none" w:sz="0" w:space="0" w:color="auto" w:frame="1"/>
              </w:rPr>
              <w:t> </w:t>
            </w:r>
          </w:p>
        </w:tc>
      </w:tr>
      <w:tr w:rsidR="00542942" w:rsidTr="0054294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jc w:val="center"/>
              <w:rPr>
                <w:color w:val="222222"/>
                <w:sz w:val="24"/>
                <w:szCs w:val="24"/>
              </w:rPr>
            </w:pPr>
            <w:r>
              <w:rPr>
                <w:b/>
                <w:bCs/>
                <w:color w:val="FFFFFF"/>
                <w:sz w:val="16"/>
                <w:szCs w:val="16"/>
                <w:bdr w:val="none" w:sz="0" w:space="0" w:color="auto" w:frame="1"/>
              </w:rPr>
              <w:t>Adaptation and Extremes</w:t>
            </w:r>
          </w:p>
        </w:tc>
      </w:tr>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 </w:t>
            </w:r>
          </w:p>
        </w:tc>
        <w:tc>
          <w:tcPr>
            <w:tcW w:w="57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Relevant? (Yes/No)</w:t>
            </w:r>
          </w:p>
        </w:tc>
        <w:tc>
          <w:tcPr>
            <w:tcW w:w="66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5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42942" w:rsidRDefault="00542942">
            <w:pPr>
              <w:jc w:val="center"/>
              <w:rPr>
                <w:color w:val="222222"/>
                <w:sz w:val="24"/>
                <w:szCs w:val="24"/>
              </w:rPr>
            </w:pPr>
            <w:r>
              <w:rPr>
                <w:color w:val="222222"/>
                <w:sz w:val="16"/>
                <w:szCs w:val="16"/>
                <w:bdr w:val="none" w:sz="0" w:space="0" w:color="auto" w:frame="1"/>
              </w:rPr>
              <w:t>Explanation</w:t>
            </w:r>
          </w:p>
        </w:tc>
      </w:tr>
      <w:tr w:rsidR="00542942" w:rsidTr="00542942">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66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315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r w:rsidR="00542942" w:rsidTr="00542942">
        <w:trPr>
          <w:trHeight w:val="266"/>
        </w:trPr>
        <w:tc>
          <w:tcPr>
            <w:tcW w:w="61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542942" w:rsidRDefault="0054294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66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jc w:val="center"/>
              <w:rPr>
                <w:color w:val="222222"/>
                <w:sz w:val="24"/>
                <w:szCs w:val="24"/>
              </w:rPr>
            </w:pPr>
            <w:r>
              <w:rPr>
                <w:color w:val="FF0000"/>
                <w:sz w:val="16"/>
                <w:szCs w:val="16"/>
                <w:bdr w:val="none" w:sz="0" w:space="0" w:color="auto" w:frame="1"/>
              </w:rPr>
              <w:t> </w:t>
            </w:r>
          </w:p>
        </w:tc>
        <w:tc>
          <w:tcPr>
            <w:tcW w:w="315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42942" w:rsidRDefault="00542942">
            <w:pPr>
              <w:rPr>
                <w:color w:val="222222"/>
                <w:sz w:val="24"/>
                <w:szCs w:val="24"/>
              </w:rPr>
            </w:pPr>
            <w:r>
              <w:rPr>
                <w:color w:val="FF0000"/>
                <w:sz w:val="16"/>
                <w:szCs w:val="16"/>
                <w:bdr w:val="none" w:sz="0" w:space="0" w:color="auto" w:frame="1"/>
              </w:rPr>
              <w:t> </w:t>
            </w:r>
          </w:p>
        </w:tc>
      </w:tr>
    </w:tbl>
    <w:p w:rsidR="00542942" w:rsidRDefault="00542942" w:rsidP="00542942">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542942" w:rsidRDefault="00542942" w:rsidP="00542942">
      <w:pPr>
        <w:shd w:val="clear" w:color="auto" w:fill="FFFFFF"/>
        <w:rPr>
          <w:rFonts w:ascii="Arial" w:hAnsi="Arial" w:cs="Arial"/>
          <w:color w:val="888888"/>
          <w:sz w:val="20"/>
          <w:szCs w:val="20"/>
        </w:rPr>
      </w:pPr>
      <w:r>
        <w:rPr>
          <w:rFonts w:ascii="Arial" w:hAnsi="Arial" w:cs="Arial"/>
          <w:color w:val="888888"/>
          <w:sz w:val="20"/>
          <w:szCs w:val="20"/>
        </w:rPr>
        <w:pict>
          <v:rect id="_x0000_i1026" style="width:178.2pt;height:.75pt" o:hrpct="330" o:hrstd="t" o:hr="t" fillcolor="#a0a0a0" stroked="f"/>
        </w:pict>
      </w:r>
    </w:p>
    <w:p w:rsidR="00542942" w:rsidRPr="00542942" w:rsidRDefault="00542942" w:rsidP="00542942">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542942">
        <w:rPr>
          <w:rFonts w:ascii="Arial" w:hAnsi="Arial" w:cs="Arial"/>
          <w:color w:val="888888"/>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542942" w:rsidRPr="00542942" w:rsidRDefault="00542942" w:rsidP="00542942">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bookmarkStart w:id="1" w:name="_GoBack"/>
      <w:bookmarkEnd w:id="1"/>
    </w:p>
    <w:p w:rsidR="00542942" w:rsidRPr="00542942" w:rsidRDefault="00542942" w:rsidP="00542942">
      <w:pPr>
        <w:pStyle w:val="NormalWeb"/>
        <w:shd w:val="clear" w:color="auto" w:fill="FFFFFF"/>
        <w:spacing w:before="0" w:beforeAutospacing="0" w:after="0" w:afterAutospacing="0"/>
        <w:rPr>
          <w:rFonts w:ascii="Arial" w:hAnsi="Arial" w:cs="Arial"/>
          <w:color w:val="888888"/>
          <w:sz w:val="20"/>
          <w:szCs w:val="20"/>
          <w:lang w:val="en-US"/>
        </w:rPr>
      </w:pPr>
      <w:bookmarkStart w:id="2" w:name="e0e92613-c7f9-43a7-aca0-2209b6623c3e@wmo"/>
      <w:r>
        <w:rPr>
          <w:rFonts w:ascii="Calibri" w:hAnsi="Calibri" w:cs="Arial"/>
          <w:color w:val="1155CC"/>
          <w:sz w:val="20"/>
          <w:szCs w:val="20"/>
          <w:bdr w:val="none" w:sz="0" w:space="0" w:color="auto" w:frame="1"/>
          <w:lang w:val="en-US"/>
        </w:rPr>
        <w:t>[3]</w:t>
      </w:r>
      <w:bookmarkEnd w:id="2"/>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p>
    <w:p w:rsidR="00805AED" w:rsidRPr="00542942" w:rsidRDefault="00805AED" w:rsidP="00B53A9D">
      <w:pPr>
        <w:pStyle w:val="WMOBodyText"/>
        <w:rPr>
          <w:sz w:val="20"/>
          <w:szCs w:val="20"/>
          <w:lang w:val="en-US"/>
        </w:rPr>
      </w:pPr>
    </w:p>
    <w:sectPr w:rsidR="00805AED" w:rsidRPr="0054294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5D" w:rsidRDefault="004D5F5D" w:rsidP="00AC5144">
      <w:pPr>
        <w:spacing w:after="0" w:line="240" w:lineRule="auto"/>
      </w:pPr>
      <w:r>
        <w:separator/>
      </w:r>
    </w:p>
  </w:endnote>
  <w:endnote w:type="continuationSeparator" w:id="0">
    <w:p w:rsidR="004D5F5D" w:rsidRDefault="004D5F5D"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5D" w:rsidRDefault="004D5F5D" w:rsidP="00AC5144">
      <w:pPr>
        <w:spacing w:after="0" w:line="240" w:lineRule="auto"/>
      </w:pPr>
      <w:r>
        <w:separator/>
      </w:r>
    </w:p>
  </w:footnote>
  <w:footnote w:type="continuationSeparator" w:id="0">
    <w:p w:rsidR="004D5F5D" w:rsidRDefault="004D5F5D"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4D5F5D"/>
    <w:rsid w:val="00542942"/>
    <w:rsid w:val="005549E4"/>
    <w:rsid w:val="00581488"/>
    <w:rsid w:val="0063126B"/>
    <w:rsid w:val="006B659E"/>
    <w:rsid w:val="006F6115"/>
    <w:rsid w:val="0071632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756">
      <w:bodyDiv w:val="1"/>
      <w:marLeft w:val="0"/>
      <w:marRight w:val="0"/>
      <w:marTop w:val="0"/>
      <w:marBottom w:val="0"/>
      <w:divBdr>
        <w:top w:val="none" w:sz="0" w:space="0" w:color="auto"/>
        <w:left w:val="none" w:sz="0" w:space="0" w:color="auto"/>
        <w:bottom w:val="none" w:sz="0" w:space="0" w:color="auto"/>
        <w:right w:val="none" w:sz="0" w:space="0" w:color="auto"/>
      </w:divBdr>
      <w:divsChild>
        <w:div w:id="1099065638">
          <w:marLeft w:val="0"/>
          <w:marRight w:val="0"/>
          <w:marTop w:val="0"/>
          <w:marBottom w:val="0"/>
          <w:divBdr>
            <w:top w:val="none" w:sz="0" w:space="0" w:color="auto"/>
            <w:left w:val="none" w:sz="0" w:space="0" w:color="auto"/>
            <w:bottom w:val="none" w:sz="0" w:space="0" w:color="auto"/>
            <w:right w:val="none" w:sz="0" w:space="0" w:color="auto"/>
          </w:divBdr>
          <w:divsChild>
            <w:div w:id="1745638700">
              <w:marLeft w:val="0"/>
              <w:marRight w:val="0"/>
              <w:marTop w:val="0"/>
              <w:marBottom w:val="0"/>
              <w:divBdr>
                <w:top w:val="none" w:sz="0" w:space="0" w:color="auto"/>
                <w:left w:val="none" w:sz="0" w:space="0" w:color="auto"/>
                <w:bottom w:val="none" w:sz="0" w:space="0" w:color="auto"/>
                <w:right w:val="none" w:sz="0" w:space="0" w:color="auto"/>
              </w:divBdr>
            </w:div>
            <w:div w:id="546916678">
              <w:marLeft w:val="0"/>
              <w:marRight w:val="0"/>
              <w:marTop w:val="0"/>
              <w:marBottom w:val="0"/>
              <w:divBdr>
                <w:top w:val="none" w:sz="0" w:space="0" w:color="auto"/>
                <w:left w:val="none" w:sz="0" w:space="0" w:color="auto"/>
                <w:bottom w:val="none" w:sz="0" w:space="0" w:color="auto"/>
                <w:right w:val="none" w:sz="0" w:space="0" w:color="auto"/>
              </w:divBdr>
            </w:div>
            <w:div w:id="47422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6733">
      <w:bodyDiv w:val="1"/>
      <w:marLeft w:val="0"/>
      <w:marRight w:val="0"/>
      <w:marTop w:val="0"/>
      <w:marBottom w:val="0"/>
      <w:divBdr>
        <w:top w:val="none" w:sz="0" w:space="0" w:color="auto"/>
        <w:left w:val="none" w:sz="0" w:space="0" w:color="auto"/>
        <w:bottom w:val="none" w:sz="0" w:space="0" w:color="auto"/>
        <w:right w:val="none" w:sz="0" w:space="0" w:color="auto"/>
      </w:divBdr>
      <w:divsChild>
        <w:div w:id="352734688">
          <w:marLeft w:val="0"/>
          <w:marRight w:val="0"/>
          <w:marTop w:val="0"/>
          <w:marBottom w:val="0"/>
          <w:divBdr>
            <w:top w:val="none" w:sz="0" w:space="0" w:color="auto"/>
            <w:left w:val="none" w:sz="0" w:space="0" w:color="auto"/>
            <w:bottom w:val="none" w:sz="0" w:space="0" w:color="auto"/>
            <w:right w:val="none" w:sz="0" w:space="0" w:color="auto"/>
          </w:divBdr>
          <w:divsChild>
            <w:div w:id="1712613831">
              <w:marLeft w:val="0"/>
              <w:marRight w:val="0"/>
              <w:marTop w:val="0"/>
              <w:marBottom w:val="0"/>
              <w:divBdr>
                <w:top w:val="none" w:sz="0" w:space="0" w:color="auto"/>
                <w:left w:val="none" w:sz="0" w:space="0" w:color="auto"/>
                <w:bottom w:val="none" w:sz="0" w:space="0" w:color="auto"/>
                <w:right w:val="none" w:sz="0" w:space="0" w:color="auto"/>
              </w:divBdr>
              <w:divsChild>
                <w:div w:id="1808088311">
                  <w:marLeft w:val="0"/>
                  <w:marRight w:val="0"/>
                  <w:marTop w:val="0"/>
                  <w:marBottom w:val="0"/>
                  <w:divBdr>
                    <w:top w:val="none" w:sz="0" w:space="0" w:color="auto"/>
                    <w:left w:val="none" w:sz="0" w:space="0" w:color="auto"/>
                    <w:bottom w:val="none" w:sz="0" w:space="0" w:color="auto"/>
                    <w:right w:val="none" w:sz="0" w:space="0" w:color="auto"/>
                  </w:divBdr>
                </w:div>
                <w:div w:id="2021274764">
                  <w:marLeft w:val="0"/>
                  <w:marRight w:val="0"/>
                  <w:marTop w:val="0"/>
                  <w:marBottom w:val="0"/>
                  <w:divBdr>
                    <w:top w:val="none" w:sz="0" w:space="0" w:color="auto"/>
                    <w:left w:val="none" w:sz="0" w:space="0" w:color="auto"/>
                    <w:bottom w:val="none" w:sz="0" w:space="0" w:color="auto"/>
                    <w:right w:val="none" w:sz="0" w:space="0" w:color="auto"/>
                  </w:divBdr>
                </w:div>
                <w:div w:id="169187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5B705D"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452198"/>
    <w:rsid w:val="005B705D"/>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0BB8D5-0BDE-47B3-879B-8CACDC926BDB}">
  <ds:schemaRefs>
    <ds:schemaRef ds:uri="http://schemas.openxmlformats.org/officeDocument/2006/bibliography"/>
  </ds:schemaRefs>
</ds:datastoreItem>
</file>

<file path=customXml/itemProps2.xml><?xml version="1.0" encoding="utf-8"?>
<ds:datastoreItem xmlns:ds="http://schemas.openxmlformats.org/officeDocument/2006/customXml" ds:itemID="{179AAFC1-2189-4EAA-9CAD-BEFF96A87628}"/>
</file>

<file path=customXml/itemProps3.xml><?xml version="1.0" encoding="utf-8"?>
<ds:datastoreItem xmlns:ds="http://schemas.openxmlformats.org/officeDocument/2006/customXml" ds:itemID="{D4919477-0F4F-4CCA-85C9-A9AEB67612D9}"/>
</file>

<file path=customXml/itemProps4.xml><?xml version="1.0" encoding="utf-8"?>
<ds:datastoreItem xmlns:ds="http://schemas.openxmlformats.org/officeDocument/2006/customXml" ds:itemID="{5002D066-04CF-43BD-9F10-840D57B5F4E8}"/>
</file>

<file path=docProps/app.xml><?xml version="1.0" encoding="utf-8"?>
<Properties xmlns="http://schemas.openxmlformats.org/officeDocument/2006/extended-properties" xmlns:vt="http://schemas.openxmlformats.org/officeDocument/2006/docPropsVTypes">
  <Template>Normal.dotm</Template>
  <TotalTime>3</TotalTime>
  <Pages>3</Pages>
  <Words>705</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2020-03-25T16:38:00Z</dcterms:created>
  <dcterms:modified xsi:type="dcterms:W3CDTF">2020-03-25T16:41:00Z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