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F2" w:rsidRPr="000768AB" w:rsidRDefault="009029F2" w:rsidP="000768AB">
      <w:pPr>
        <w:pStyle w:val="Title"/>
      </w:pPr>
      <w:r w:rsidRPr="000768AB">
        <w:t>Comments from Public Consultation on ECV Requirements 13/01 – 13/03 2020 for:</w:t>
      </w:r>
    </w:p>
    <w:p w:rsidR="000768AB" w:rsidRPr="00CD19AE" w:rsidRDefault="000768AB" w:rsidP="00CD19AE">
      <w:pPr>
        <w:pStyle w:val="WMOBodyText"/>
        <w:rPr>
          <w:lang w:val="en-US"/>
        </w:rPr>
      </w:pPr>
    </w:p>
    <w:p w:rsidR="009029F2" w:rsidRPr="000768AB" w:rsidRDefault="00CD19AE" w:rsidP="000768AB">
      <w:pPr>
        <w:pStyle w:val="Heading1"/>
      </w:pPr>
      <w:r>
        <w:t>Earth radiation budget</w:t>
      </w:r>
    </w:p>
    <w:p w:rsidR="009029F2" w:rsidRDefault="000251F0" w:rsidP="008C6C0C">
      <w:pPr>
        <w:pStyle w:val="Heading2"/>
      </w:pPr>
      <w:r w:rsidRPr="009029F2">
        <w:t xml:space="preserve">ECV Product: </w:t>
      </w:r>
      <w:r w:rsidR="008C6C0C" w:rsidRPr="008C6C0C">
        <w:t>Radiation Profile</w:t>
      </w:r>
    </w:p>
    <w:p w:rsidR="008C6C0C" w:rsidRDefault="008C6C0C" w:rsidP="008C6C0C"/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9"/>
        <w:gridCol w:w="1309"/>
        <w:gridCol w:w="1342"/>
        <w:gridCol w:w="452"/>
        <w:gridCol w:w="1044"/>
        <w:gridCol w:w="5570"/>
      </w:tblGrid>
      <w:tr w:rsidR="008C6C0C" w:rsidTr="00CA7865">
        <w:trPr>
          <w:jc w:val="center"/>
        </w:trPr>
        <w:tc>
          <w:tcPr>
            <w:tcW w:w="59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10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Radiation Profile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1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Vertical profile of upward and downward LW and SW radiation components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1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W/m2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1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For the application area of global climate monitoring no requirements exist. Thus the requirements of the individual components are taken</w:t>
            </w:r>
          </w:p>
        </w:tc>
      </w:tr>
      <w:tr w:rsidR="008C6C0C" w:rsidTr="00CA7865">
        <w:trPr>
          <w:jc w:val="center"/>
        </w:trPr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94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0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205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474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52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9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0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50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100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9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0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4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9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16"/>
                <w:szCs w:val="16"/>
                <w:bdr w:val="none" w:sz="0" w:space="0" w:color="auto" w:frame="1"/>
              </w:rPr>
              <w:t>hr</w:t>
            </w:r>
            <w:proofErr w:type="spellEnd"/>
          </w:p>
        </w:tc>
        <w:tc>
          <w:tcPr>
            <w:tcW w:w="60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24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720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resolving diurnal cycle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9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16"/>
                <w:szCs w:val="16"/>
                <w:bdr w:val="none" w:sz="0" w:space="0" w:color="auto" w:frame="1"/>
              </w:rPr>
              <w:t>hr</w:t>
            </w:r>
            <w:proofErr w:type="spellEnd"/>
          </w:p>
        </w:tc>
        <w:tc>
          <w:tcPr>
            <w:tcW w:w="60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24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720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9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W/m2</w:t>
            </w:r>
          </w:p>
        </w:tc>
        <w:tc>
          <w:tcPr>
            <w:tcW w:w="60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0.1/0.2</w:t>
            </w:r>
          </w:p>
        </w:tc>
        <w:tc>
          <w:tcPr>
            <w:tcW w:w="252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r>
              <w:rPr>
                <w:sz w:val="16"/>
                <w:szCs w:val="16"/>
                <w:bdr w:val="none" w:sz="0" w:space="0" w:color="auto" w:frame="1"/>
              </w:rPr>
              <w:t>Shortwave radiation/Longwave radiation</w:t>
            </w:r>
          </w:p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A factor of 2 was applied to gain the breakthrough value and a factor of 4 was applied to estimate the threshold value.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0.2/0.4</w:t>
            </w:r>
          </w:p>
        </w:tc>
        <w:tc>
          <w:tcPr>
            <w:tcW w:w="252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</w:tr>
      <w:tr w:rsidR="008C6C0C" w:rsidTr="00CA7865">
        <w:trPr>
          <w:jc w:val="center"/>
        </w:trPr>
        <w:tc>
          <w:tcPr>
            <w:tcW w:w="59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0.4/0.8</w:t>
            </w:r>
          </w:p>
        </w:tc>
        <w:tc>
          <w:tcPr>
            <w:tcW w:w="252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</w:tr>
      <w:tr w:rsidR="008C6C0C" w:rsidTr="00CA7865">
        <w:trPr>
          <w:jc w:val="center"/>
        </w:trPr>
        <w:tc>
          <w:tcPr>
            <w:tcW w:w="59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9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  <w:bdr w:val="none" w:sz="0" w:space="0" w:color="auto" w:frame="1"/>
              </w:rPr>
              <w:t>W/m2/decade</w:t>
            </w:r>
          </w:p>
        </w:tc>
        <w:tc>
          <w:tcPr>
            <w:tcW w:w="609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0.025/0.05</w:t>
            </w:r>
          </w:p>
        </w:tc>
        <w:tc>
          <w:tcPr>
            <w:tcW w:w="252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Shortwave radiation/Longwave radiation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0.05/0.1</w:t>
            </w:r>
          </w:p>
        </w:tc>
        <w:tc>
          <w:tcPr>
            <w:tcW w:w="252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</w:tr>
      <w:tr w:rsidR="008C6C0C" w:rsidTr="00CA7865">
        <w:trPr>
          <w:jc w:val="center"/>
        </w:trPr>
        <w:tc>
          <w:tcPr>
            <w:tcW w:w="59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0.1/0.2</w:t>
            </w:r>
          </w:p>
        </w:tc>
        <w:tc>
          <w:tcPr>
            <w:tcW w:w="252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8C6C0C" w:rsidRDefault="008C6C0C">
            <w:pPr>
              <w:rPr>
                <w:sz w:val="24"/>
                <w:szCs w:val="24"/>
              </w:rPr>
            </w:pPr>
          </w:p>
        </w:tc>
      </w:tr>
      <w:tr w:rsidR="008C6C0C" w:rsidTr="00CA7865">
        <w:trPr>
          <w:jc w:val="center"/>
        </w:trPr>
        <w:tc>
          <w:tcPr>
            <w:tcW w:w="59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1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 </w:t>
            </w:r>
          </w:p>
        </w:tc>
        <w:tc>
          <w:tcPr>
            <w:tcW w:w="594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0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207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8C6C0C" w:rsidTr="00CA7865">
        <w:trPr>
          <w:jc w:val="center"/>
        </w:trPr>
        <w:tc>
          <w:tcPr>
            <w:tcW w:w="59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07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Reviewers are invited to suggest answers for these fields</w:t>
            </w:r>
          </w:p>
        </w:tc>
      </w:tr>
      <w:tr w:rsidR="008C6C0C" w:rsidTr="00CA7865">
        <w:trPr>
          <w:trHeight w:val="266"/>
          <w:jc w:val="center"/>
        </w:trPr>
        <w:tc>
          <w:tcPr>
            <w:tcW w:w="59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07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Reviewers are invited to suggest answers for these fields</w:t>
            </w:r>
          </w:p>
        </w:tc>
      </w:tr>
    </w:tbl>
    <w:p w:rsidR="008C6C0C" w:rsidRDefault="008C6C0C" w:rsidP="008C6C0C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8C6C0C" w:rsidRDefault="00CA7865" w:rsidP="008C6C0C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5" style="width:178.2pt;height:.75pt" o:hrpct="330" o:hrstd="t" o:hr="t" fillcolor="#a0a0a0" stroked="f"/>
        </w:pict>
      </w:r>
    </w:p>
    <w:p w:rsidR="008C6C0C" w:rsidRPr="008C6C0C" w:rsidRDefault="008C6C0C" w:rsidP="008C6C0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8C6C0C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</w:t>
      </w:r>
      <w:ins w:id="0" w:author="Unknown" w:date="2019-11-18T13:07:00Z">
        <w:r w:rsidRPr="008C6C0C">
          <w:rPr>
            <w:rFonts w:ascii="Arial" w:hAnsi="Arial" w:cs="Arial"/>
            <w:color w:val="222222"/>
            <w:sz w:val="16"/>
            <w:szCs w:val="16"/>
            <w:bdr w:val="none" w:sz="0" w:space="0" w:color="auto" w:frame="1"/>
            <w:lang w:val="en-US"/>
          </w:rPr>
          <w:t> </w:t>
        </w:r>
      </w:ins>
      <w:r w:rsidRPr="008C6C0C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(not mandatory, more as one possible); Threshold (T), for definitions see </w:t>
      </w:r>
      <w:hyperlink r:id="rId9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8C6C0C" w:rsidRPr="008C6C0C" w:rsidRDefault="008C6C0C" w:rsidP="008C6C0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8C6C0C" w:rsidRPr="008C6C0C" w:rsidRDefault="008C6C0C" w:rsidP="008C6C0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1" w:name="1027a4f9-2ae6-4286-96dd-72408a64a7fd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1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8C6C0C" w:rsidRDefault="008C6C0C" w:rsidP="008C6C0C"/>
    <w:p w:rsidR="008C6C0C" w:rsidRPr="008C6C0C" w:rsidRDefault="008C6C0C" w:rsidP="008C6C0C">
      <w:r>
        <w:t>NO COMMENT</w:t>
      </w:r>
    </w:p>
    <w:p w:rsidR="00805AED" w:rsidRDefault="00805AED" w:rsidP="00805AED">
      <w:r>
        <w:br w:type="page"/>
      </w:r>
    </w:p>
    <w:p w:rsidR="003E2CE8" w:rsidRDefault="000251F0" w:rsidP="008C6C0C">
      <w:pPr>
        <w:pStyle w:val="Heading2"/>
      </w:pPr>
      <w:r w:rsidRPr="009029F2">
        <w:lastRenderedPageBreak/>
        <w:t xml:space="preserve">ECV Product: </w:t>
      </w:r>
      <w:r w:rsidR="008C6C0C" w:rsidRPr="008C6C0C">
        <w:t>Solar Spectral Irradiance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1287"/>
        <w:gridCol w:w="1318"/>
        <w:gridCol w:w="443"/>
        <w:gridCol w:w="1216"/>
        <w:gridCol w:w="5475"/>
      </w:tblGrid>
      <w:tr w:rsidR="008C6C0C" w:rsidTr="00CA7865">
        <w:trPr>
          <w:jc w:val="center"/>
        </w:trPr>
        <w:tc>
          <w:tcPr>
            <w:tcW w:w="58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20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Solar Spectral Irradiance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2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Total Solar Irradiance (TSI); when measured as a function of wavelength it is the spectral irradiance 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2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W/m2/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μm</w:t>
            </w:r>
            <w:proofErr w:type="spellEnd"/>
          </w:p>
        </w:tc>
      </w:tr>
      <w:tr w:rsidR="008C6C0C" w:rsidTr="00CA7865">
        <w:trPr>
          <w:jc w:val="center"/>
        </w:trPr>
        <w:tc>
          <w:tcPr>
            <w:tcW w:w="58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2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584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59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201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552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485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58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  <w:tc>
          <w:tcPr>
            <w:tcW w:w="59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8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8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8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58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  <w:tc>
          <w:tcPr>
            <w:tcW w:w="59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8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Spectral resolution: 1 nm &lt; 290 nm; 2 nm 290-1000 nm; 5 nm 1000-1600 nm; 10 nm 1600-3200 nm; 20 nm 3200-6400 nm; 40 nm 6400-10020  20000 nm spacing up to 160000 nm</w:t>
            </w:r>
          </w:p>
        </w:tc>
        <w:tc>
          <w:tcPr>
            <w:tcW w:w="248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8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58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hr</w:t>
            </w:r>
            <w:proofErr w:type="spellEnd"/>
          </w:p>
        </w:tc>
        <w:tc>
          <w:tcPr>
            <w:tcW w:w="59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8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8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24</w:t>
            </w:r>
          </w:p>
        </w:tc>
        <w:tc>
          <w:tcPr>
            <w:tcW w:w="248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58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hr</w:t>
            </w:r>
            <w:proofErr w:type="spellEnd"/>
          </w:p>
        </w:tc>
        <w:tc>
          <w:tcPr>
            <w:tcW w:w="59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8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48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24</w:t>
            </w:r>
          </w:p>
        </w:tc>
        <w:tc>
          <w:tcPr>
            <w:tcW w:w="248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58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%</w:t>
            </w:r>
          </w:p>
        </w:tc>
        <w:tc>
          <w:tcPr>
            <w:tcW w:w="59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0.3</w:t>
            </w:r>
          </w:p>
        </w:tc>
        <w:tc>
          <w:tcPr>
            <w:tcW w:w="2485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(200-2400 nm)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1.5</w:t>
            </w:r>
          </w:p>
        </w:tc>
        <w:tc>
          <w:tcPr>
            <w:tcW w:w="2485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</w:tr>
      <w:tr w:rsidR="008C6C0C" w:rsidTr="00CA7865">
        <w:trPr>
          <w:jc w:val="center"/>
        </w:trPr>
        <w:tc>
          <w:tcPr>
            <w:tcW w:w="58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2485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</w:tr>
      <w:tr w:rsidR="008C6C0C" w:rsidTr="00CA7865">
        <w:trPr>
          <w:jc w:val="center"/>
        </w:trPr>
        <w:tc>
          <w:tcPr>
            <w:tcW w:w="580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584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  <w:bdr w:val="none" w:sz="0" w:space="0" w:color="auto" w:frame="1"/>
              </w:rPr>
              <w:t>%/decade</w:t>
            </w:r>
          </w:p>
        </w:tc>
        <w:tc>
          <w:tcPr>
            <w:tcW w:w="598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485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(200-2400 nm)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5</w:t>
            </w:r>
          </w:p>
        </w:tc>
        <w:tc>
          <w:tcPr>
            <w:tcW w:w="2485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</w:tr>
      <w:tr w:rsidR="008C6C0C" w:rsidTr="00CA7865">
        <w:trPr>
          <w:jc w:val="center"/>
        </w:trPr>
        <w:tc>
          <w:tcPr>
            <w:tcW w:w="580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010</w:t>
            </w:r>
          </w:p>
        </w:tc>
        <w:tc>
          <w:tcPr>
            <w:tcW w:w="2485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</w:p>
        </w:tc>
      </w:tr>
      <w:tr w:rsidR="008C6C0C" w:rsidTr="00CA7865">
        <w:trPr>
          <w:jc w:val="center"/>
        </w:trPr>
        <w:tc>
          <w:tcPr>
            <w:tcW w:w="58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Standards and References</w:t>
            </w:r>
          </w:p>
        </w:tc>
        <w:tc>
          <w:tcPr>
            <w:tcW w:w="4420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8C6C0C" w:rsidTr="00CA7865">
        <w:trPr>
          <w:jc w:val="center"/>
        </w:trPr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84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59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238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8C6C0C" w:rsidTr="00CA7865">
        <w:trPr>
          <w:jc w:val="center"/>
        </w:trPr>
        <w:tc>
          <w:tcPr>
            <w:tcW w:w="580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3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Reviewers are invited to suggest answers for these fields</w:t>
            </w:r>
          </w:p>
        </w:tc>
      </w:tr>
      <w:tr w:rsidR="008C6C0C" w:rsidTr="00CA7865">
        <w:trPr>
          <w:trHeight w:val="266"/>
          <w:jc w:val="center"/>
        </w:trPr>
        <w:tc>
          <w:tcPr>
            <w:tcW w:w="58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238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C0C" w:rsidRDefault="008C6C0C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Reviewers are invited to suggest answers for these fields</w:t>
            </w:r>
          </w:p>
        </w:tc>
      </w:tr>
    </w:tbl>
    <w:p w:rsidR="008C6C0C" w:rsidRDefault="008C6C0C" w:rsidP="008C6C0C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8C6C0C" w:rsidRDefault="00CA7865" w:rsidP="008C6C0C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6" style="width:178.2pt;height:.75pt" o:hrpct="330" o:hrstd="t" o:hr="t" fillcolor="#a0a0a0" stroked="f"/>
        </w:pict>
      </w:r>
    </w:p>
    <w:p w:rsidR="008C6C0C" w:rsidRPr="008C6C0C" w:rsidRDefault="008C6C0C" w:rsidP="008C6C0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8C6C0C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</w:t>
      </w:r>
      <w:ins w:id="2" w:author="Unknown" w:date="2019-11-18T13:07:00Z">
        <w:r w:rsidRPr="008C6C0C">
          <w:rPr>
            <w:rFonts w:ascii="Arial" w:hAnsi="Arial" w:cs="Arial"/>
            <w:color w:val="222222"/>
            <w:sz w:val="16"/>
            <w:szCs w:val="16"/>
            <w:bdr w:val="none" w:sz="0" w:space="0" w:color="auto" w:frame="1"/>
            <w:lang w:val="en-US"/>
          </w:rPr>
          <w:t> </w:t>
        </w:r>
      </w:ins>
      <w:r w:rsidRPr="008C6C0C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(not mandatory, more as one possible); Threshold (T), for definitions see </w:t>
      </w:r>
      <w:hyperlink r:id="rId10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8C6C0C" w:rsidRPr="008C6C0C" w:rsidRDefault="008C6C0C" w:rsidP="008C6C0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8C6C0C" w:rsidRPr="008C6C0C" w:rsidRDefault="008C6C0C" w:rsidP="008C6C0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3" w:name="f7858aad-5d73-404b-a9c4-73c5e1da7e46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3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345D91" w:rsidRDefault="00345D91" w:rsidP="008C6C0C">
      <w:pPr>
        <w:jc w:val="center"/>
        <w:rPr>
          <w:color w:val="222222"/>
        </w:rPr>
      </w:pPr>
    </w:p>
    <w:p w:rsidR="00345D91" w:rsidRPr="00215C42" w:rsidRDefault="00345D91" w:rsidP="00345D91">
      <w:pPr>
        <w:pStyle w:val="Heading3"/>
      </w:pPr>
      <w:r w:rsidRPr="009029F2">
        <w:t>Comment 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78"/>
        <w:gridCol w:w="5638"/>
      </w:tblGrid>
      <w:tr w:rsidR="00345D91" w:rsidTr="00A97BE3">
        <w:trPr>
          <w:trHeight w:val="340"/>
        </w:trPr>
        <w:tc>
          <w:tcPr>
            <w:tcW w:w="2441" w:type="pct"/>
            <w:vAlign w:val="center"/>
          </w:tcPr>
          <w:p w:rsidR="00345D91" w:rsidRPr="00215C42" w:rsidRDefault="00345D91" w:rsidP="008C6C0C">
            <w:pPr>
              <w:rPr>
                <w:sz w:val="20"/>
                <w:szCs w:val="20"/>
              </w:rPr>
            </w:pPr>
            <w:r w:rsidRPr="009029F2">
              <w:rPr>
                <w:sz w:val="20"/>
                <w:szCs w:val="20"/>
              </w:rPr>
              <w:t>Author</w:t>
            </w:r>
            <w:r>
              <w:rPr>
                <w:sz w:val="20"/>
                <w:szCs w:val="20"/>
              </w:rPr>
              <w:t xml:space="preserve">: </w:t>
            </w:r>
            <w:sdt>
              <w:sdtPr>
                <w:rPr>
                  <w:sz w:val="20"/>
                  <w:szCs w:val="20"/>
                </w:rPr>
                <w:id w:val="-493484484"/>
                <w:placeholder>
                  <w:docPart w:val="E35B20F21AB349E6B3A0D42E0AFD36F6"/>
                </w:placeholder>
              </w:sdtPr>
              <w:sdtEndPr/>
              <w:sdtContent>
                <w:r w:rsidR="008C6C0C">
                  <w:rPr>
                    <w:sz w:val="20"/>
                    <w:szCs w:val="20"/>
                  </w:rPr>
                  <w:t>ECMWF</w:t>
                </w:r>
              </w:sdtContent>
            </w:sdt>
          </w:p>
        </w:tc>
        <w:tc>
          <w:tcPr>
            <w:tcW w:w="2559" w:type="pct"/>
            <w:vAlign w:val="center"/>
          </w:tcPr>
          <w:p w:rsidR="00345D91" w:rsidRPr="00E80C12" w:rsidRDefault="00345D91" w:rsidP="00A97BE3">
            <w:pPr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9029F2">
              <w:rPr>
                <w:sz w:val="20"/>
                <w:szCs w:val="20"/>
              </w:rPr>
              <w:t>Ema</w:t>
            </w:r>
            <w:r w:rsidRPr="00E80C12">
              <w:rPr>
                <w:sz w:val="20"/>
                <w:szCs w:val="20"/>
              </w:rPr>
              <w:t xml:space="preserve">il: </w:t>
            </w:r>
            <w:sdt>
              <w:sdtPr>
                <w:rPr>
                  <w:sz w:val="20"/>
                  <w:szCs w:val="20"/>
                </w:rPr>
                <w:id w:val="-2044587148"/>
                <w:placeholder>
                  <w:docPart w:val="A3C744CB3B604FA5923F3921AF992FA9"/>
                </w:placeholder>
              </w:sdtPr>
              <w:sdtEndPr/>
              <w:sdtContent>
                <w:r w:rsidR="008C6C0C" w:rsidRPr="008C6C0C">
                  <w:rPr>
                    <w:sz w:val="20"/>
                    <w:szCs w:val="20"/>
                  </w:rPr>
                  <w:t>ecresgcosreqs@gmail.com</w:t>
                </w:r>
              </w:sdtContent>
            </w:sdt>
          </w:p>
        </w:tc>
      </w:tr>
      <w:tr w:rsidR="00345D91" w:rsidTr="00A97BE3">
        <w:tc>
          <w:tcPr>
            <w:tcW w:w="5000" w:type="pct"/>
            <w:gridSpan w:val="2"/>
          </w:tcPr>
          <w:p w:rsidR="00345D91" w:rsidRPr="009029F2" w:rsidRDefault="00CA7865" w:rsidP="00A97BE3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29568861"/>
                <w:placeholder>
                  <w:docPart w:val="8A385AF584D74AD3AF328DC0053C2605"/>
                </w:placeholder>
              </w:sdtPr>
              <w:sdtEndPr/>
              <w:sdtContent>
                <w:r w:rsidR="008C6C0C" w:rsidRPr="008C6C0C">
                  <w:rPr>
                    <w:sz w:val="20"/>
                    <w:szCs w:val="20"/>
                  </w:rPr>
                  <w:t>A range of 200-2400 nm is stated here but the SSI out to much longer wavelengths is required.  Remember that there is 50 W m-2 of solar energy at wavelengths longer than 2.4 microns, 12 W m-2 at wavelengths longer than 4 microns and 1 W m-2 at wavelengths longer than 9 microns. (Robin Hogan, ECMWF.)</w:t>
                </w:r>
              </w:sdtContent>
            </w:sdt>
          </w:p>
        </w:tc>
      </w:tr>
    </w:tbl>
    <w:p w:rsidR="00345D91" w:rsidRDefault="00345D91" w:rsidP="003E2CE8"/>
    <w:p w:rsidR="003E2CE8" w:rsidRDefault="003E2CE8" w:rsidP="003E2CE8">
      <w:r>
        <w:br w:type="page"/>
      </w:r>
    </w:p>
    <w:p w:rsidR="003E2CE8" w:rsidRDefault="000251F0" w:rsidP="00A97BE3">
      <w:pPr>
        <w:pStyle w:val="Heading2"/>
      </w:pPr>
      <w:r w:rsidRPr="009029F2">
        <w:lastRenderedPageBreak/>
        <w:t xml:space="preserve">ECV Product: </w:t>
      </w:r>
      <w:r w:rsidR="00A97BE3" w:rsidRPr="00A97BE3">
        <w:t>Downward Short-Wave Irradiance at Top of the Atmosphere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8"/>
        <w:gridCol w:w="1326"/>
        <w:gridCol w:w="1357"/>
        <w:gridCol w:w="458"/>
        <w:gridCol w:w="917"/>
        <w:gridCol w:w="5640"/>
      </w:tblGrid>
      <w:tr w:rsidR="00A97BE3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02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Downward Short-Wave Irradiance at Top of the Atmosphere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02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Flux density of the solar radiation at the top of the atmosphere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02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W/m²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02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97BE3" w:rsidTr="00CA7865">
        <w:trPr>
          <w:jc w:val="center"/>
        </w:trPr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602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1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20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41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560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1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  <w:tc>
          <w:tcPr>
            <w:tcW w:w="61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hr</w:t>
            </w:r>
            <w:proofErr w:type="spellEnd"/>
          </w:p>
        </w:tc>
        <w:tc>
          <w:tcPr>
            <w:tcW w:w="61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24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hr</w:t>
            </w:r>
            <w:proofErr w:type="spellEnd"/>
          </w:p>
        </w:tc>
        <w:tc>
          <w:tcPr>
            <w:tcW w:w="61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24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720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W/m2</w:t>
            </w:r>
          </w:p>
        </w:tc>
        <w:tc>
          <w:tcPr>
            <w:tcW w:w="61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0.04</w:t>
            </w:r>
          </w:p>
        </w:tc>
        <w:tc>
          <w:tcPr>
            <w:tcW w:w="2560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0.08</w:t>
            </w:r>
          </w:p>
        </w:tc>
        <w:tc>
          <w:tcPr>
            <w:tcW w:w="2560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</w:tr>
      <w:tr w:rsidR="00A97BE3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0.12</w:t>
            </w:r>
          </w:p>
        </w:tc>
        <w:tc>
          <w:tcPr>
            <w:tcW w:w="2560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</w:tr>
      <w:tr w:rsidR="00A97BE3" w:rsidTr="00CA7865">
        <w:trPr>
          <w:jc w:val="center"/>
        </w:trPr>
        <w:tc>
          <w:tcPr>
            <w:tcW w:w="598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  <w:bdr w:val="none" w:sz="0" w:space="0" w:color="auto" w:frame="1"/>
              </w:rPr>
              <w:t>W/m2/decade</w:t>
            </w:r>
          </w:p>
        </w:tc>
        <w:tc>
          <w:tcPr>
            <w:tcW w:w="61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0.01</w:t>
            </w:r>
          </w:p>
        </w:tc>
        <w:tc>
          <w:tcPr>
            <w:tcW w:w="2560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0.02</w:t>
            </w:r>
          </w:p>
        </w:tc>
        <w:tc>
          <w:tcPr>
            <w:tcW w:w="2560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</w:tr>
      <w:tr w:rsidR="00A97BE3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0.04</w:t>
            </w:r>
          </w:p>
        </w:tc>
        <w:tc>
          <w:tcPr>
            <w:tcW w:w="2560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</w:p>
        </w:tc>
      </w:tr>
      <w:tr w:rsidR="00A97BE3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02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A97BE3" w:rsidTr="00CA7865">
        <w:trPr>
          <w:jc w:val="center"/>
        </w:trPr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02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1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184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A97BE3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184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Reviewers are invited to suggest answers for these fields</w:t>
            </w:r>
          </w:p>
        </w:tc>
      </w:tr>
      <w:tr w:rsidR="00A97BE3" w:rsidTr="00CA7865">
        <w:trPr>
          <w:trHeight w:val="266"/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184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BE3" w:rsidRDefault="00A97BE3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Reviewers are invited to suggest answers for these fields</w:t>
            </w:r>
          </w:p>
        </w:tc>
      </w:tr>
    </w:tbl>
    <w:p w:rsidR="00A97BE3" w:rsidRDefault="00A97BE3" w:rsidP="00A97BE3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lastRenderedPageBreak/>
        <w:br w:type="textWrapping" w:clear="all"/>
      </w:r>
    </w:p>
    <w:p w:rsidR="00A97BE3" w:rsidRDefault="00CA7865" w:rsidP="00A97BE3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7" style="width:178.2pt;height:.75pt" o:hrpct="330" o:hrstd="t" o:hr="t" fillcolor="#a0a0a0" stroked="f"/>
        </w:pict>
      </w:r>
    </w:p>
    <w:p w:rsidR="00A97BE3" w:rsidRPr="00A97BE3" w:rsidRDefault="00A97BE3" w:rsidP="00A97BE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A97BE3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</w:t>
      </w:r>
      <w:ins w:id="4" w:author="Unknown" w:date="2019-11-18T13:07:00Z">
        <w:r w:rsidRPr="00A97BE3">
          <w:rPr>
            <w:rFonts w:ascii="Arial" w:hAnsi="Arial" w:cs="Arial"/>
            <w:color w:val="222222"/>
            <w:sz w:val="16"/>
            <w:szCs w:val="16"/>
            <w:bdr w:val="none" w:sz="0" w:space="0" w:color="auto" w:frame="1"/>
            <w:lang w:val="en-US"/>
          </w:rPr>
          <w:t> </w:t>
        </w:r>
      </w:ins>
      <w:r w:rsidRPr="00A97BE3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(not mandatory, more as one possible); Threshold (T), for definitions see </w:t>
      </w:r>
      <w:hyperlink r:id="rId11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A97BE3" w:rsidRPr="00A97BE3" w:rsidRDefault="00A97BE3" w:rsidP="00A97BE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A97BE3" w:rsidRPr="00A97BE3" w:rsidRDefault="00A97BE3" w:rsidP="00A97BE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5" w:name="7b7ace92-857f-47cd-9b1c-ff7bc97933c9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5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345D91" w:rsidRDefault="00345D91" w:rsidP="00345D91">
      <w:pPr>
        <w:rPr>
          <w:color w:val="222222"/>
        </w:rPr>
      </w:pPr>
    </w:p>
    <w:p w:rsidR="00345D91" w:rsidRDefault="00A97BE3" w:rsidP="00841F0F">
      <w:r>
        <w:t>NO COMMENT</w:t>
      </w:r>
    </w:p>
    <w:p w:rsidR="00841F0F" w:rsidRDefault="00841F0F" w:rsidP="00841F0F">
      <w:r>
        <w:br w:type="page"/>
      </w:r>
    </w:p>
    <w:p w:rsidR="00841F0F" w:rsidRDefault="000251F0" w:rsidP="00632067">
      <w:pPr>
        <w:pStyle w:val="Heading2"/>
      </w:pPr>
      <w:r w:rsidRPr="009029F2">
        <w:lastRenderedPageBreak/>
        <w:t xml:space="preserve">ECV Product: </w:t>
      </w:r>
      <w:r w:rsidR="00632067" w:rsidRPr="00632067">
        <w:t>Upward Short-Wave Irradiance at Top of the Atmosphere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8"/>
        <w:gridCol w:w="1326"/>
        <w:gridCol w:w="1357"/>
        <w:gridCol w:w="458"/>
        <w:gridCol w:w="917"/>
        <w:gridCol w:w="5640"/>
      </w:tblGrid>
      <w:tr w:rsidR="00632067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02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Upward Short-Wave Irradiance at Top of the Atmosphere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02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Flux density of solar radiation, reflected by the Earth surface and atmosphere, emitted to space at the top of the atmosphere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02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W/m²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02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632067" w:rsidTr="00CA7865">
        <w:trPr>
          <w:jc w:val="center"/>
        </w:trPr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602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1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20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41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560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1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50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100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  <w:tc>
          <w:tcPr>
            <w:tcW w:w="61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hr</w:t>
            </w:r>
            <w:proofErr w:type="spellEnd"/>
          </w:p>
        </w:tc>
        <w:tc>
          <w:tcPr>
            <w:tcW w:w="61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24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Daily  resolves the diurnal cycle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720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Monthly allows a regional monitoring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hr</w:t>
            </w:r>
            <w:proofErr w:type="spellEnd"/>
          </w:p>
        </w:tc>
        <w:tc>
          <w:tcPr>
            <w:tcW w:w="61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24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720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W/m2</w:t>
            </w:r>
          </w:p>
        </w:tc>
        <w:tc>
          <w:tcPr>
            <w:tcW w:w="61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0.2</w:t>
            </w:r>
          </w:p>
        </w:tc>
        <w:tc>
          <w:tcPr>
            <w:tcW w:w="2560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NOAA Tech Rep. NESDIS 134;</w:t>
            </w:r>
          </w:p>
          <w:p w:rsidR="00632067" w:rsidRDefault="00632067">
            <w:pPr>
              <w:rPr>
                <w:color w:val="222222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Ohring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et al. 2003 / 2005)</w:t>
            </w:r>
          </w:p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A factor of 2 was applied to gain the breakthrough value and a factor of 4 was applied to estimate the threshold value.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0.5</w:t>
            </w:r>
          </w:p>
        </w:tc>
        <w:tc>
          <w:tcPr>
            <w:tcW w:w="2560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60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</w:tr>
      <w:tr w:rsidR="00632067" w:rsidTr="00CA7865">
        <w:trPr>
          <w:jc w:val="center"/>
        </w:trPr>
        <w:tc>
          <w:tcPr>
            <w:tcW w:w="598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  <w:bdr w:val="none" w:sz="0" w:space="0" w:color="auto" w:frame="1"/>
              </w:rPr>
              <w:t>W/m2/decade</w:t>
            </w:r>
          </w:p>
        </w:tc>
        <w:tc>
          <w:tcPr>
            <w:tcW w:w="61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0.06</w:t>
            </w:r>
          </w:p>
        </w:tc>
        <w:tc>
          <w:tcPr>
            <w:tcW w:w="2560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NOAA Tech Rep. NESDIS 134</w:t>
            </w:r>
          </w:p>
          <w:p w:rsidR="00632067" w:rsidRDefault="00632067">
            <w:pPr>
              <w:rPr>
                <w:color w:val="222222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0.15</w:t>
            </w:r>
          </w:p>
        </w:tc>
        <w:tc>
          <w:tcPr>
            <w:tcW w:w="2560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0.3</w:t>
            </w:r>
          </w:p>
        </w:tc>
        <w:tc>
          <w:tcPr>
            <w:tcW w:w="2560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</w:tr>
      <w:tr w:rsidR="00632067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02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Ohring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2004</w:t>
            </w:r>
          </w:p>
          <w:p w:rsidR="00632067" w:rsidRDefault="00632067">
            <w:pPr>
              <w:rPr>
                <w:color w:val="222222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Ohring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2005</w:t>
            </w:r>
          </w:p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NOAA Tech Rep. NESDIS 134</w:t>
            </w:r>
          </w:p>
        </w:tc>
      </w:tr>
      <w:tr w:rsidR="00632067" w:rsidTr="00CA7865">
        <w:trPr>
          <w:jc w:val="center"/>
        </w:trPr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 and Extremes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02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1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184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184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Reviewers are invited to suggest answers for these fields</w:t>
            </w:r>
          </w:p>
        </w:tc>
      </w:tr>
      <w:tr w:rsidR="00632067" w:rsidTr="00CA7865">
        <w:trPr>
          <w:trHeight w:val="266"/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184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Reviewers are invited to suggest answers for these fields</w:t>
            </w:r>
          </w:p>
        </w:tc>
      </w:tr>
    </w:tbl>
    <w:p w:rsidR="00632067" w:rsidRDefault="00632067" w:rsidP="00632067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632067" w:rsidRDefault="00CA7865" w:rsidP="00632067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8" style="width:178.2pt;height:.75pt" o:hrpct="330" o:hrstd="t" o:hr="t" fillcolor="#a0a0a0" stroked="f"/>
        </w:pict>
      </w:r>
    </w:p>
    <w:p w:rsidR="00632067" w:rsidRPr="00632067" w:rsidRDefault="00632067" w:rsidP="006320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632067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</w:t>
      </w:r>
      <w:ins w:id="6" w:author="Unknown" w:date="2019-11-18T13:07:00Z">
        <w:r w:rsidRPr="00632067">
          <w:rPr>
            <w:rFonts w:ascii="Arial" w:hAnsi="Arial" w:cs="Arial"/>
            <w:color w:val="222222"/>
            <w:sz w:val="16"/>
            <w:szCs w:val="16"/>
            <w:bdr w:val="none" w:sz="0" w:space="0" w:color="auto" w:frame="1"/>
            <w:lang w:val="en-US"/>
          </w:rPr>
          <w:t> </w:t>
        </w:r>
      </w:ins>
      <w:r w:rsidRPr="00632067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(not mandatory, more as one possible); Threshold (T), for definitions see </w:t>
      </w:r>
      <w:hyperlink r:id="rId12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632067" w:rsidRPr="00632067" w:rsidRDefault="00632067" w:rsidP="006320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632067" w:rsidRPr="00632067" w:rsidRDefault="00632067" w:rsidP="006320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7" w:name="d0aebd41-e601-4fad-823b-9fa98946dedc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7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345D91" w:rsidRDefault="00345D91" w:rsidP="00345D91">
      <w:pPr>
        <w:rPr>
          <w:color w:val="222222"/>
        </w:rPr>
      </w:pPr>
    </w:p>
    <w:p w:rsidR="00345D91" w:rsidRDefault="00632067" w:rsidP="00215C42">
      <w:pPr>
        <w:rPr>
          <w:sz w:val="20"/>
          <w:szCs w:val="20"/>
        </w:rPr>
      </w:pPr>
      <w:r>
        <w:rPr>
          <w:sz w:val="20"/>
          <w:szCs w:val="20"/>
        </w:rPr>
        <w:t>NO COMMENT</w:t>
      </w:r>
    </w:p>
    <w:p w:rsidR="00345D91" w:rsidRDefault="00345D91" w:rsidP="00345D91">
      <w:r>
        <w:br w:type="page"/>
      </w:r>
    </w:p>
    <w:p w:rsidR="008F7682" w:rsidRDefault="000251F0" w:rsidP="00632067">
      <w:pPr>
        <w:pStyle w:val="Heading2"/>
      </w:pPr>
      <w:r w:rsidRPr="009029F2">
        <w:lastRenderedPageBreak/>
        <w:t xml:space="preserve">ECV Product: </w:t>
      </w:r>
      <w:r w:rsidR="00632067" w:rsidRPr="00632067">
        <w:t>Upward Long-Wave Irradiance at Top of the Atmosphere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8"/>
        <w:gridCol w:w="1326"/>
        <w:gridCol w:w="1357"/>
        <w:gridCol w:w="458"/>
        <w:gridCol w:w="917"/>
        <w:gridCol w:w="5640"/>
      </w:tblGrid>
      <w:tr w:rsidR="00632067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Name</w:t>
            </w:r>
          </w:p>
        </w:tc>
        <w:tc>
          <w:tcPr>
            <w:tcW w:w="4402" w:type="pct"/>
            <w:gridSpan w:val="5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Upward Long-Wave Irradiance at Top of the Atmosphere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Definition</w:t>
            </w:r>
          </w:p>
        </w:tc>
        <w:tc>
          <w:tcPr>
            <w:tcW w:w="4402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Flux density of terrestrial radiation emitted by the Earth surface and the gases, aerosols and clouds of the atmosphere at the top of the atmosphere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4402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W/m²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Note</w:t>
            </w:r>
          </w:p>
        </w:tc>
        <w:tc>
          <w:tcPr>
            <w:tcW w:w="4402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632067" w:rsidTr="00CA7865">
        <w:trPr>
          <w:jc w:val="center"/>
        </w:trPr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Requirements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Item needed</w:t>
            </w:r>
          </w:p>
        </w:tc>
        <w:tc>
          <w:tcPr>
            <w:tcW w:w="602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Unit</w:t>
            </w:r>
          </w:p>
        </w:tc>
        <w:tc>
          <w:tcPr>
            <w:tcW w:w="61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Metric</w:t>
            </w:r>
          </w:p>
        </w:tc>
        <w:tc>
          <w:tcPr>
            <w:tcW w:w="20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1155CC"/>
                <w:sz w:val="16"/>
                <w:szCs w:val="16"/>
                <w:bdr w:val="none" w:sz="0" w:space="0" w:color="auto" w:frame="1"/>
              </w:rPr>
              <w:t>[1]</w:t>
            </w:r>
          </w:p>
        </w:tc>
        <w:tc>
          <w:tcPr>
            <w:tcW w:w="41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Value</w:t>
            </w:r>
          </w:p>
        </w:tc>
        <w:tc>
          <w:tcPr>
            <w:tcW w:w="2560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  <w:sz w:val="16"/>
                <w:szCs w:val="16"/>
                <w:bdr w:val="none" w:sz="0" w:space="0" w:color="auto" w:frame="1"/>
              </w:rPr>
              <w:t>Derivation and References and Standards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Horizontal Resolution</w:t>
            </w:r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km</w:t>
            </w:r>
          </w:p>
        </w:tc>
        <w:tc>
          <w:tcPr>
            <w:tcW w:w="61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50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100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Vertical Resolution</w:t>
            </w:r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  <w:tc>
          <w:tcPr>
            <w:tcW w:w="61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N/A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Temporal Resolution</w:t>
            </w:r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hr</w:t>
            </w:r>
            <w:proofErr w:type="spellEnd"/>
          </w:p>
        </w:tc>
        <w:tc>
          <w:tcPr>
            <w:tcW w:w="61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24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Daily  resolves the diurnal cycle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720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Monthly allows a regional monitoring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Timeliness</w:t>
            </w:r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hr</w:t>
            </w:r>
            <w:proofErr w:type="spellEnd"/>
          </w:p>
        </w:tc>
        <w:tc>
          <w:tcPr>
            <w:tcW w:w="61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24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720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Required Measurement Uncertainty</w:t>
            </w:r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W/m2</w:t>
            </w:r>
          </w:p>
        </w:tc>
        <w:tc>
          <w:tcPr>
            <w:tcW w:w="61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0.2</w:t>
            </w:r>
          </w:p>
        </w:tc>
        <w:tc>
          <w:tcPr>
            <w:tcW w:w="2560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NOAA Tech Rep. NESDIS 134;</w:t>
            </w:r>
          </w:p>
          <w:p w:rsidR="00632067" w:rsidRDefault="00632067">
            <w:pPr>
              <w:rPr>
                <w:color w:val="222222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Ohring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et al. 2003 / 2005)</w:t>
            </w:r>
          </w:p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A factor of 2 was applied to gain the breakthrough value and a factor of 4 was applied to estimate the threshold value.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0.5</w:t>
            </w:r>
          </w:p>
        </w:tc>
        <w:tc>
          <w:tcPr>
            <w:tcW w:w="2560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60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</w:tr>
      <w:tr w:rsidR="00632067" w:rsidTr="00CA7865">
        <w:trPr>
          <w:jc w:val="center"/>
        </w:trPr>
        <w:tc>
          <w:tcPr>
            <w:tcW w:w="598" w:type="pct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Stability</w:t>
            </w:r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  <w:bdr w:val="none" w:sz="0" w:space="0" w:color="auto" w:frame="1"/>
              </w:rPr>
              <w:t>W/m2/decade</w:t>
            </w:r>
          </w:p>
        </w:tc>
        <w:tc>
          <w:tcPr>
            <w:tcW w:w="616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0.05</w:t>
            </w:r>
          </w:p>
        </w:tc>
        <w:tc>
          <w:tcPr>
            <w:tcW w:w="2560" w:type="pct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NOAA Tech Rep. NESDIS 134</w:t>
            </w:r>
          </w:p>
          <w:p w:rsidR="00632067" w:rsidRDefault="00632067">
            <w:pPr>
              <w:rPr>
                <w:color w:val="222222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Requirements for decadal stability and bias can be derived from theoretical assumptions about the minimum anticipated signal to detect climate trends (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Ohring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2004, 2005). </w:t>
            </w: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Ohring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et al. assume the required stability to be 1/5 of the expected climate signal. To detect a climate signal the stability should be better than 10 % of the uncertainty.</w:t>
            </w:r>
          </w:p>
          <w:p w:rsidR="00632067" w:rsidRDefault="00632067">
            <w:pPr>
              <w:rPr>
                <w:color w:val="222222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B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0.1</w:t>
            </w:r>
          </w:p>
        </w:tc>
        <w:tc>
          <w:tcPr>
            <w:tcW w:w="2560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</w:tr>
      <w:tr w:rsidR="00632067" w:rsidTr="00CA7865">
        <w:trPr>
          <w:jc w:val="center"/>
        </w:trPr>
        <w:tc>
          <w:tcPr>
            <w:tcW w:w="598" w:type="pct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616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0.2</w:t>
            </w:r>
          </w:p>
        </w:tc>
        <w:tc>
          <w:tcPr>
            <w:tcW w:w="2560" w:type="pct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</w:p>
        </w:tc>
      </w:tr>
      <w:tr w:rsidR="00632067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Standards and References</w:t>
            </w:r>
          </w:p>
        </w:tc>
        <w:tc>
          <w:tcPr>
            <w:tcW w:w="4402" w:type="pct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Ohring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2004</w:t>
            </w:r>
          </w:p>
          <w:p w:rsidR="00632067" w:rsidRDefault="00632067">
            <w:pPr>
              <w:rPr>
                <w:color w:val="222222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Ohring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 xml:space="preserve"> 2005</w:t>
            </w:r>
          </w:p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NOAA Tech Rep. NESDIS 134</w:t>
            </w:r>
          </w:p>
        </w:tc>
      </w:tr>
      <w:tr w:rsidR="00632067" w:rsidTr="00CA7865">
        <w:trPr>
          <w:jc w:val="center"/>
        </w:trPr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lastRenderedPageBreak/>
              <w:t>Adaptation and Extremes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02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Relevant? (Yes/No)</w:t>
            </w:r>
          </w:p>
        </w:tc>
        <w:tc>
          <w:tcPr>
            <w:tcW w:w="616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Sugg</w:t>
            </w:r>
            <w:proofErr w:type="spellEnd"/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. Req. sufficient? (Yes/No)</w:t>
            </w:r>
          </w:p>
        </w:tc>
        <w:tc>
          <w:tcPr>
            <w:tcW w:w="3184" w:type="pct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jc w:val="center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Explanation</w:t>
            </w:r>
          </w:p>
        </w:tc>
      </w:tr>
      <w:tr w:rsidR="00632067" w:rsidTr="00CA7865">
        <w:trPr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Adaptation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[2]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184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Reviewers are invited to suggest answers for these fields</w:t>
            </w:r>
          </w:p>
        </w:tc>
      </w:tr>
      <w:tr w:rsidR="00632067" w:rsidTr="00CA7865">
        <w:trPr>
          <w:trHeight w:val="266"/>
          <w:jc w:val="center"/>
        </w:trPr>
        <w:tc>
          <w:tcPr>
            <w:tcW w:w="5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Extremes</w:t>
            </w:r>
            <w:r>
              <w:rPr>
                <w:rFonts w:ascii="Calibri" w:hAnsi="Calibri"/>
                <w:b/>
                <w:bCs/>
                <w:color w:val="FFFFFF"/>
                <w:sz w:val="16"/>
                <w:szCs w:val="16"/>
                <w:bdr w:val="none" w:sz="0" w:space="0" w:color="auto" w:frame="1"/>
              </w:rPr>
              <w:t>[3]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16"/>
                <w:szCs w:val="16"/>
                <w:bdr w:val="none" w:sz="0" w:space="0" w:color="auto" w:frame="1"/>
              </w:rPr>
              <w:t> </w:t>
            </w:r>
          </w:p>
        </w:tc>
        <w:tc>
          <w:tcPr>
            <w:tcW w:w="3184" w:type="pct"/>
            <w:gridSpan w:val="3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7BFD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067" w:rsidRDefault="00632067">
            <w:pPr>
              <w:rPr>
                <w:color w:val="222222"/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  <w:bdr w:val="none" w:sz="0" w:space="0" w:color="auto" w:frame="1"/>
              </w:rPr>
              <w:t>Reviewers are invited to suggest answers for these fields</w:t>
            </w:r>
          </w:p>
        </w:tc>
      </w:tr>
    </w:tbl>
    <w:p w:rsidR="00632067" w:rsidRDefault="00632067" w:rsidP="00632067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 w:type="textWrapping" w:clear="all"/>
      </w:r>
    </w:p>
    <w:p w:rsidR="00632067" w:rsidRDefault="00CA7865" w:rsidP="00632067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pict>
          <v:rect id="_x0000_i1029" style="width:178.2pt;height:.75pt" o:hrpct="330" o:hrstd="t" o:hr="t" fillcolor="#a0a0a0" stroked="f"/>
        </w:pict>
      </w:r>
    </w:p>
    <w:p w:rsidR="00632067" w:rsidRPr="00632067" w:rsidRDefault="00632067" w:rsidP="006320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2"/>
          <w:szCs w:val="22"/>
          <w:bdr w:val="none" w:sz="0" w:space="0" w:color="auto" w:frame="1"/>
          <w:lang w:val="en-US"/>
        </w:rPr>
        <w:t>[1]</w:t>
      </w:r>
      <w:r w:rsidRPr="00632067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Goal (G); Breakthrough (B)</w:t>
      </w:r>
      <w:ins w:id="8" w:author="Unknown" w:date="2019-11-18T13:07:00Z">
        <w:r w:rsidRPr="00632067">
          <w:rPr>
            <w:rFonts w:ascii="Arial" w:hAnsi="Arial" w:cs="Arial"/>
            <w:color w:val="222222"/>
            <w:sz w:val="16"/>
            <w:szCs w:val="16"/>
            <w:bdr w:val="none" w:sz="0" w:space="0" w:color="auto" w:frame="1"/>
            <w:lang w:val="en-US"/>
          </w:rPr>
          <w:t> </w:t>
        </w:r>
      </w:ins>
      <w:r w:rsidRPr="00632067"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(not mandatory, more as one possible); Threshold (T), for definitions see </w:t>
      </w:r>
      <w:hyperlink r:id="rId13" w:tgtFrame="_blank" w:history="1">
        <w:r>
          <w:rPr>
            <w:rStyle w:val="Hyperlink"/>
            <w:rFonts w:ascii="Arial" w:hAnsi="Arial" w:cs="Arial"/>
            <w:color w:val="6611CC"/>
            <w:sz w:val="16"/>
            <w:szCs w:val="16"/>
            <w:bdr w:val="none" w:sz="0" w:space="0" w:color="auto" w:frame="1"/>
            <w:lang w:val="en-GB"/>
          </w:rPr>
          <w:t>Guidelines</w:t>
        </w:r>
      </w:hyperlink>
    </w:p>
    <w:p w:rsidR="00632067" w:rsidRPr="00632067" w:rsidRDefault="00632067" w:rsidP="006320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[2]</w:t>
      </w:r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Is the ECV Product directly relevant to support Climate Adaptation?</w:t>
      </w:r>
    </w:p>
    <w:p w:rsidR="00632067" w:rsidRPr="00632067" w:rsidRDefault="00632067" w:rsidP="006320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  <w:lang w:val="en-US"/>
        </w:rPr>
      </w:pPr>
      <w:bookmarkStart w:id="9" w:name="90df12f1-f637-4d6f-a2fa-9b41ceb8d5f2@wmo"/>
      <w:r>
        <w:rPr>
          <w:rFonts w:ascii="Calibri" w:hAnsi="Calibri" w:cs="Arial"/>
          <w:color w:val="1155CC"/>
          <w:sz w:val="20"/>
          <w:szCs w:val="20"/>
          <w:bdr w:val="none" w:sz="0" w:space="0" w:color="auto" w:frame="1"/>
          <w:lang w:val="en-US"/>
        </w:rPr>
        <w:t>[3]</w:t>
      </w:r>
      <w:bookmarkEnd w:id="9"/>
      <w:r>
        <w:rPr>
          <w:rFonts w:ascii="Arial" w:hAnsi="Arial" w:cs="Arial"/>
          <w:color w:val="222222"/>
          <w:sz w:val="20"/>
          <w:szCs w:val="20"/>
          <w:bdr w:val="none" w:sz="0" w:space="0" w:color="auto" w:frame="1"/>
          <w:lang w:val="en-US"/>
        </w:rPr>
        <w:t> </w:t>
      </w:r>
      <w:r>
        <w:rPr>
          <w:rFonts w:ascii="Arial" w:hAnsi="Arial" w:cs="Arial"/>
          <w:color w:val="222222"/>
          <w:sz w:val="16"/>
          <w:szCs w:val="16"/>
          <w:bdr w:val="none" w:sz="0" w:space="0" w:color="auto" w:frame="1"/>
          <w:lang w:val="en-US"/>
        </w:rPr>
        <w:t>Can the ECV Product be used to monitor climate extremes or aspects of extremes?</w:t>
      </w:r>
    </w:p>
    <w:p w:rsidR="00345D91" w:rsidRDefault="00345D91" w:rsidP="00345D91">
      <w:pPr>
        <w:rPr>
          <w:color w:val="222222"/>
        </w:rPr>
      </w:pPr>
    </w:p>
    <w:p w:rsidR="00345D91" w:rsidRDefault="00632067" w:rsidP="008F7682">
      <w:r>
        <w:t>NO COMMENT</w:t>
      </w:r>
      <w:bookmarkStart w:id="10" w:name="_GoBack"/>
      <w:bookmarkEnd w:id="10"/>
    </w:p>
    <w:sectPr w:rsidR="00345D91" w:rsidSect="007820D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BE3" w:rsidRDefault="00A97BE3" w:rsidP="00AC5144">
      <w:pPr>
        <w:spacing w:after="0" w:line="240" w:lineRule="auto"/>
      </w:pPr>
      <w:r>
        <w:separator/>
      </w:r>
    </w:p>
  </w:endnote>
  <w:endnote w:type="continuationSeparator" w:id="0">
    <w:p w:rsidR="00A97BE3" w:rsidRDefault="00A97BE3" w:rsidP="00AC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BE3" w:rsidRDefault="00A97BE3" w:rsidP="00AC5144">
      <w:pPr>
        <w:spacing w:after="0" w:line="240" w:lineRule="auto"/>
      </w:pPr>
      <w:r>
        <w:separator/>
      </w:r>
    </w:p>
  </w:footnote>
  <w:footnote w:type="continuationSeparator" w:id="0">
    <w:p w:rsidR="00A97BE3" w:rsidRDefault="00A97BE3" w:rsidP="00AC5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A300F"/>
    <w:multiLevelType w:val="hybridMultilevel"/>
    <w:tmpl w:val="C38A3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4635E1"/>
    <w:multiLevelType w:val="hybridMultilevel"/>
    <w:tmpl w:val="DBD62CE2"/>
    <w:lvl w:ilvl="0" w:tplc="4274EFE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44"/>
    <w:rsid w:val="000251F0"/>
    <w:rsid w:val="000768AB"/>
    <w:rsid w:val="000B784C"/>
    <w:rsid w:val="00117AC7"/>
    <w:rsid w:val="00212159"/>
    <w:rsid w:val="00215C42"/>
    <w:rsid w:val="00345D91"/>
    <w:rsid w:val="003E2CE8"/>
    <w:rsid w:val="00414309"/>
    <w:rsid w:val="00581488"/>
    <w:rsid w:val="0063126B"/>
    <w:rsid w:val="00632067"/>
    <w:rsid w:val="006B659E"/>
    <w:rsid w:val="006F6115"/>
    <w:rsid w:val="00732185"/>
    <w:rsid w:val="00736FE8"/>
    <w:rsid w:val="007820D1"/>
    <w:rsid w:val="00805AED"/>
    <w:rsid w:val="00841F0F"/>
    <w:rsid w:val="008B5E54"/>
    <w:rsid w:val="008C6C0C"/>
    <w:rsid w:val="008D30FB"/>
    <w:rsid w:val="008F7682"/>
    <w:rsid w:val="009029F2"/>
    <w:rsid w:val="009248BC"/>
    <w:rsid w:val="00A97BE3"/>
    <w:rsid w:val="00AC5144"/>
    <w:rsid w:val="00CA7865"/>
    <w:rsid w:val="00CD19AE"/>
    <w:rsid w:val="00D25A1F"/>
    <w:rsid w:val="00D45082"/>
    <w:rsid w:val="00D930B7"/>
    <w:rsid w:val="00E47EFF"/>
    <w:rsid w:val="00E80C12"/>
    <w:rsid w:val="00ED26F8"/>
    <w:rsid w:val="00F5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semiHidden/>
    <w:unhideWhenUsed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CD19AE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CD19AE"/>
    <w:rPr>
      <w:rFonts w:ascii="Arial" w:eastAsia="Arial" w:hAnsi="Arial" w:cs="Arial"/>
      <w:color w:val="000000" w:themeColor="text1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144"/>
  </w:style>
  <w:style w:type="paragraph" w:styleId="Heading1">
    <w:name w:val="heading 1"/>
    <w:basedOn w:val="Normal"/>
    <w:next w:val="Normal"/>
    <w:link w:val="Heading1Char"/>
    <w:uiPriority w:val="9"/>
    <w:qFormat/>
    <w:rsid w:val="000768AB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768AB"/>
    <w:pPr>
      <w:numPr>
        <w:numId w:val="2"/>
      </w:numPr>
      <w:ind w:left="426" w:hanging="426"/>
      <w:outlineLvl w:val="1"/>
    </w:pPr>
    <w:rPr>
      <w:b/>
      <w:bCs/>
      <w:shd w:val="pct15" w:color="auto" w:fill="FFFFF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15C42"/>
    <w:pPr>
      <w:numPr>
        <w:numId w:val="0"/>
      </w:numPr>
      <w:spacing w:before="120" w:after="120" w:line="240" w:lineRule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C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144"/>
  </w:style>
  <w:style w:type="paragraph" w:styleId="ListParagraph">
    <w:name w:val="List Paragraph"/>
    <w:basedOn w:val="Normal"/>
    <w:uiPriority w:val="34"/>
    <w:qFormat/>
    <w:rsid w:val="00AC51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5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C51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5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514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61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15"/>
    <w:rPr>
      <w:rFonts w:ascii="Tahoma" w:hAnsi="Tahoma" w:cs="Tahoma"/>
      <w:sz w:val="16"/>
      <w:szCs w:val="16"/>
    </w:rPr>
  </w:style>
  <w:style w:type="table" w:styleId="MediumGrid3-Accent1">
    <w:name w:val="Medium Grid 3 Accent 1"/>
    <w:basedOn w:val="TableNormal"/>
    <w:uiPriority w:val="69"/>
    <w:rsid w:val="000B7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8D3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FB"/>
  </w:style>
  <w:style w:type="character" w:customStyle="1" w:styleId="Heading1Char">
    <w:name w:val="Heading 1 Char"/>
    <w:basedOn w:val="DefaultParagraphFont"/>
    <w:link w:val="Heading1"/>
    <w:uiPriority w:val="9"/>
    <w:rsid w:val="000768AB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68A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5C42"/>
    <w:rPr>
      <w:b/>
      <w:bCs/>
    </w:rPr>
  </w:style>
  <w:style w:type="paragraph" w:styleId="Title">
    <w:name w:val="Title"/>
    <w:basedOn w:val="Heading1"/>
    <w:next w:val="Normal"/>
    <w:link w:val="TitleChar"/>
    <w:uiPriority w:val="10"/>
    <w:qFormat/>
    <w:rsid w:val="009029F2"/>
  </w:style>
  <w:style w:type="character" w:customStyle="1" w:styleId="TitleChar">
    <w:name w:val="Title Char"/>
    <w:basedOn w:val="DefaultParagraphFont"/>
    <w:link w:val="Title"/>
    <w:uiPriority w:val="10"/>
    <w:rsid w:val="009029F2"/>
    <w:rPr>
      <w:b/>
      <w:bCs/>
    </w:rPr>
  </w:style>
  <w:style w:type="character" w:customStyle="1" w:styleId="f0xo1gc-f-a">
    <w:name w:val="f0xo1gc-f-a"/>
    <w:basedOn w:val="DefaultParagraphFont"/>
    <w:rsid w:val="00E80C12"/>
  </w:style>
  <w:style w:type="character" w:customStyle="1" w:styleId="f0xo1gc-nb-q">
    <w:name w:val="f0xo1gc-nb-q"/>
    <w:basedOn w:val="DefaultParagraphFont"/>
    <w:rsid w:val="00E80C12"/>
  </w:style>
  <w:style w:type="paragraph" w:styleId="NormalWeb">
    <w:name w:val="Normal (Web)"/>
    <w:basedOn w:val="Normal"/>
    <w:uiPriority w:val="99"/>
    <w:semiHidden/>
    <w:unhideWhenUsed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345D91"/>
    <w:rPr>
      <w:color w:val="808080"/>
    </w:rPr>
  </w:style>
  <w:style w:type="paragraph" w:customStyle="1" w:styleId="WMOBodyText">
    <w:name w:val="WMO_BodyText"/>
    <w:link w:val="WMOBodyTextChar"/>
    <w:qFormat/>
    <w:rsid w:val="00CD19AE"/>
    <w:pPr>
      <w:tabs>
        <w:tab w:val="left" w:pos="1134"/>
      </w:tabs>
      <w:spacing w:before="240" w:after="0" w:line="240" w:lineRule="auto"/>
    </w:pPr>
    <w:rPr>
      <w:rFonts w:ascii="Arial" w:eastAsia="Arial" w:hAnsi="Arial" w:cs="Arial"/>
      <w:color w:val="000000" w:themeColor="text1"/>
      <w:lang w:val="en-GB" w:eastAsia="en-US"/>
    </w:rPr>
  </w:style>
  <w:style w:type="character" w:customStyle="1" w:styleId="WMOBodyTextChar">
    <w:name w:val="WMO_BodyText Char"/>
    <w:basedOn w:val="DefaultParagraphFont"/>
    <w:link w:val="WMOBodyText"/>
    <w:rsid w:val="00CD19AE"/>
    <w:rPr>
      <w:rFonts w:ascii="Arial" w:eastAsia="Arial" w:hAnsi="Arial" w:cs="Arial"/>
      <w:color w:val="000000" w:themeColor="text1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6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479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1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2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3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16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89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10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24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8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9160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1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31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0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7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069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060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7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93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52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4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9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641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04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9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0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3618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4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7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86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0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90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462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65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0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5207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29923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4135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14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5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6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8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93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8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14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045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25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14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0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8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1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02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1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8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2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2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8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4010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48699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389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42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66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6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64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04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858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tiny.cc/ecv-review" TargetMode="Externa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tiny.cc/ecv-review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iny.cc/ecv-review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tiny.cc/ecv-review" TargetMode="Externa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yperlink" Target="http://tiny.cc/ecv-review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35B20F21AB349E6B3A0D42E0AFD3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39CAC-F0C2-400D-B250-96339FD2A9B4}"/>
      </w:docPartPr>
      <w:docPartBody>
        <w:p w:rsidR="006025E7" w:rsidRDefault="00CB0009" w:rsidP="00CB0009">
          <w:pPr>
            <w:pStyle w:val="E35B20F21AB349E6B3A0D42E0AFD36F6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A3C744CB3B604FA5923F3921AF992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80215-8757-4147-B896-FC9EEBF45850}"/>
      </w:docPartPr>
      <w:docPartBody>
        <w:p w:rsidR="006025E7" w:rsidRDefault="00CB0009" w:rsidP="00CB0009">
          <w:pPr>
            <w:pStyle w:val="A3C744CB3B604FA5923F3921AF992FA9"/>
          </w:pPr>
          <w:r w:rsidRPr="00697ACC">
            <w:rPr>
              <w:rStyle w:val="PlaceholderText"/>
            </w:rPr>
            <w:t>Click here to enter text.</w:t>
          </w:r>
        </w:p>
      </w:docPartBody>
    </w:docPart>
    <w:docPart>
      <w:docPartPr>
        <w:name w:val="8A385AF584D74AD3AF328DC0053C26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69ED7-B3F6-4183-8F28-C54AC407D5A2}"/>
      </w:docPartPr>
      <w:docPartBody>
        <w:p w:rsidR="006025E7" w:rsidRDefault="00CB0009" w:rsidP="00CB0009">
          <w:pPr>
            <w:pStyle w:val="8A385AF584D74AD3AF328DC0053C2605"/>
          </w:pPr>
          <w:r w:rsidRPr="00697A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09"/>
    <w:rsid w:val="005F6956"/>
    <w:rsid w:val="006025E7"/>
    <w:rsid w:val="00CB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0009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0009"/>
    <w:rPr>
      <w:color w:val="808080"/>
    </w:rPr>
  </w:style>
  <w:style w:type="paragraph" w:customStyle="1" w:styleId="96EC711C772C4427B5AAB9EC359DAFA6">
    <w:name w:val="96EC711C772C4427B5AAB9EC359DAFA6"/>
    <w:rsid w:val="00CB0009"/>
  </w:style>
  <w:style w:type="paragraph" w:customStyle="1" w:styleId="DAAAB45119BB41448760B5066F838481">
    <w:name w:val="DAAAB45119BB41448760B5066F838481"/>
    <w:rsid w:val="00CB0009"/>
  </w:style>
  <w:style w:type="paragraph" w:customStyle="1" w:styleId="68E3FAF6CA26471DBF9E819BE87569C8">
    <w:name w:val="68E3FAF6CA26471DBF9E819BE87569C8"/>
    <w:rsid w:val="00CB0009"/>
  </w:style>
  <w:style w:type="paragraph" w:customStyle="1" w:styleId="022B5BCE9BEE47ECB76BE00E85A10297">
    <w:name w:val="022B5BCE9BEE47ECB76BE00E85A10297"/>
    <w:rsid w:val="00CB0009"/>
  </w:style>
  <w:style w:type="paragraph" w:customStyle="1" w:styleId="E56385914738445486E36D662855BE87">
    <w:name w:val="E56385914738445486E36D662855BE87"/>
    <w:rsid w:val="00CB0009"/>
  </w:style>
  <w:style w:type="paragraph" w:customStyle="1" w:styleId="0D3C7EFE12C84A58800EB5333FE7FFAA">
    <w:name w:val="0D3C7EFE12C84A58800EB5333FE7FFAA"/>
    <w:rsid w:val="00CB0009"/>
  </w:style>
  <w:style w:type="paragraph" w:customStyle="1" w:styleId="FB09377B1EC34E9FA62578D33B9241C3">
    <w:name w:val="FB09377B1EC34E9FA62578D33B9241C3"/>
    <w:rsid w:val="00CB0009"/>
  </w:style>
  <w:style w:type="paragraph" w:customStyle="1" w:styleId="8C57D99F91994DF0B3C4D4084589F68F">
    <w:name w:val="8C57D99F91994DF0B3C4D4084589F68F"/>
    <w:rsid w:val="00CB0009"/>
  </w:style>
  <w:style w:type="paragraph" w:customStyle="1" w:styleId="ECE5497C50CF46CC8B034DB11B72A5E1">
    <w:name w:val="ECE5497C50CF46CC8B034DB11B72A5E1"/>
    <w:rsid w:val="00CB0009"/>
  </w:style>
  <w:style w:type="paragraph" w:customStyle="1" w:styleId="9322D34BB5444C81ABD6B1729A4882A7">
    <w:name w:val="9322D34BB5444C81ABD6B1729A4882A7"/>
    <w:rsid w:val="00CB0009"/>
  </w:style>
  <w:style w:type="paragraph" w:customStyle="1" w:styleId="FE6A7F4F932C4F7BA10E80124AD0A053">
    <w:name w:val="FE6A7F4F932C4F7BA10E80124AD0A053"/>
    <w:rsid w:val="00CB0009"/>
  </w:style>
  <w:style w:type="paragraph" w:customStyle="1" w:styleId="91DE0DAA82EE4A148D2DC09E8F2EB834">
    <w:name w:val="91DE0DAA82EE4A148D2DC09E8F2EB834"/>
    <w:rsid w:val="00CB0009"/>
  </w:style>
  <w:style w:type="paragraph" w:customStyle="1" w:styleId="926C28F08C9E4B108D108C1B44EAD2AB">
    <w:name w:val="926C28F08C9E4B108D108C1B44EAD2AB"/>
    <w:rsid w:val="00CB0009"/>
  </w:style>
  <w:style w:type="paragraph" w:customStyle="1" w:styleId="D0E2CFC76A6449FF89AFC949891CAD4E">
    <w:name w:val="D0E2CFC76A6449FF89AFC949891CAD4E"/>
    <w:rsid w:val="00CB0009"/>
  </w:style>
  <w:style w:type="paragraph" w:customStyle="1" w:styleId="878F9F099BC04B0FA0BDB8335B6F82CA">
    <w:name w:val="878F9F099BC04B0FA0BDB8335B6F82CA"/>
    <w:rsid w:val="00CB0009"/>
  </w:style>
  <w:style w:type="paragraph" w:customStyle="1" w:styleId="FC61E3AA2B534CF7ACA6F183037BB303">
    <w:name w:val="FC61E3AA2B534CF7ACA6F183037BB303"/>
    <w:rsid w:val="00CB0009"/>
  </w:style>
  <w:style w:type="paragraph" w:customStyle="1" w:styleId="F795E19DCC6A4787B633781463487F0C">
    <w:name w:val="F795E19DCC6A4787B633781463487F0C"/>
    <w:rsid w:val="00CB0009"/>
  </w:style>
  <w:style w:type="paragraph" w:customStyle="1" w:styleId="E35B20F21AB349E6B3A0D42E0AFD36F6">
    <w:name w:val="E35B20F21AB349E6B3A0D42E0AFD36F6"/>
    <w:rsid w:val="00CB0009"/>
  </w:style>
  <w:style w:type="paragraph" w:customStyle="1" w:styleId="A3C744CB3B604FA5923F3921AF992FA9">
    <w:name w:val="A3C744CB3B604FA5923F3921AF992FA9"/>
    <w:rsid w:val="00CB0009"/>
  </w:style>
  <w:style w:type="paragraph" w:customStyle="1" w:styleId="8A385AF584D74AD3AF328DC0053C2605">
    <w:name w:val="8A385AF584D74AD3AF328DC0053C2605"/>
    <w:rsid w:val="00CB0009"/>
  </w:style>
  <w:style w:type="paragraph" w:customStyle="1" w:styleId="8B6572FACEFE4DC9B0E5DB5283426323">
    <w:name w:val="8B6572FACEFE4DC9B0E5DB5283426323"/>
    <w:rsid w:val="00CB0009"/>
  </w:style>
  <w:style w:type="paragraph" w:customStyle="1" w:styleId="A8B6B438B3B0405291DA9D24748E989D">
    <w:name w:val="A8B6B438B3B0405291DA9D24748E989D"/>
    <w:rsid w:val="00CB0009"/>
  </w:style>
  <w:style w:type="paragraph" w:customStyle="1" w:styleId="B4549A20DF294103A638712DF4F72904">
    <w:name w:val="B4549A20DF294103A638712DF4F72904"/>
    <w:rsid w:val="00CB0009"/>
  </w:style>
  <w:style w:type="paragraph" w:customStyle="1" w:styleId="17385F16D7824AF8AC2914095B82FB56">
    <w:name w:val="17385F16D7824AF8AC2914095B82FB56"/>
    <w:rsid w:val="00CB0009"/>
  </w:style>
  <w:style w:type="paragraph" w:customStyle="1" w:styleId="4B2C75FD8DE0440EAC036534B9288049">
    <w:name w:val="4B2C75FD8DE0440EAC036534B9288049"/>
    <w:rsid w:val="00CB0009"/>
  </w:style>
  <w:style w:type="paragraph" w:customStyle="1" w:styleId="069FC84632FA4074B8B38712D3930366">
    <w:name w:val="069FC84632FA4074B8B38712D3930366"/>
    <w:rsid w:val="00CB0009"/>
  </w:style>
  <w:style w:type="paragraph" w:customStyle="1" w:styleId="51B248F6D1384C6D980C0B0EC91EDB00">
    <w:name w:val="51B248F6D1384C6D980C0B0EC91EDB00"/>
    <w:rsid w:val="00CB0009"/>
  </w:style>
  <w:style w:type="paragraph" w:customStyle="1" w:styleId="31D9E33510CC40C7905AF6CE960305C6">
    <w:name w:val="31D9E33510CC40C7905AF6CE960305C6"/>
    <w:rsid w:val="00CB0009"/>
  </w:style>
  <w:style w:type="paragraph" w:customStyle="1" w:styleId="8F5DF1667AD044F880874BFF53F592C5">
    <w:name w:val="8F5DF1667AD044F880874BFF53F592C5"/>
    <w:rsid w:val="00CB0009"/>
  </w:style>
  <w:style w:type="paragraph" w:customStyle="1" w:styleId="831E84F3E5B14400A673973FE4EA3945">
    <w:name w:val="831E84F3E5B14400A673973FE4EA3945"/>
    <w:rsid w:val="00CB0009"/>
  </w:style>
  <w:style w:type="paragraph" w:customStyle="1" w:styleId="4B91992F77234187976FEE2AA13B116C">
    <w:name w:val="4B91992F77234187976FEE2AA13B116C"/>
    <w:rsid w:val="00CB0009"/>
  </w:style>
  <w:style w:type="paragraph" w:customStyle="1" w:styleId="E90DC8658FBE49228574821A67C98BD3">
    <w:name w:val="E90DC8658FBE49228574821A67C98BD3"/>
    <w:rsid w:val="00CB0009"/>
  </w:style>
  <w:style w:type="paragraph" w:customStyle="1" w:styleId="45FCE13E09DE491799AAA7DC3ADCCF4C">
    <w:name w:val="45FCE13E09DE491799AAA7DC3ADCCF4C"/>
    <w:rsid w:val="00CB0009"/>
  </w:style>
  <w:style w:type="paragraph" w:customStyle="1" w:styleId="BF2617DF73764DC69339DD81EAFB4608">
    <w:name w:val="BF2617DF73764DC69339DD81EAFB4608"/>
    <w:rsid w:val="00CB0009"/>
  </w:style>
  <w:style w:type="paragraph" w:customStyle="1" w:styleId="5B644A7BC6324B038487C77C8A6F8190">
    <w:name w:val="5B644A7BC6324B038487C77C8A6F8190"/>
    <w:rsid w:val="00CB0009"/>
  </w:style>
  <w:style w:type="paragraph" w:customStyle="1" w:styleId="8FFC77FA7B1D44009B8FD26B0C81E3BC">
    <w:name w:val="8FFC77FA7B1D44009B8FD26B0C81E3BC"/>
    <w:rsid w:val="00CB0009"/>
  </w:style>
  <w:style w:type="paragraph" w:customStyle="1" w:styleId="8ECFE331A89948B2B092133A42C79BDC">
    <w:name w:val="8ECFE331A89948B2B092133A42C79BDC"/>
    <w:rsid w:val="00CB0009"/>
  </w:style>
  <w:style w:type="paragraph" w:customStyle="1" w:styleId="2AC8151D0FF94EA0B7CB36D3F1456633">
    <w:name w:val="2AC8151D0FF94EA0B7CB36D3F1456633"/>
    <w:rsid w:val="00CB0009"/>
  </w:style>
  <w:style w:type="paragraph" w:customStyle="1" w:styleId="AB22428E96F54F918F5AA738D84BC5B3">
    <w:name w:val="AB22428E96F54F918F5AA738D84BC5B3"/>
    <w:rsid w:val="00CB0009"/>
  </w:style>
  <w:style w:type="paragraph" w:customStyle="1" w:styleId="3ABF075A79F843BAB8FD76F4ECCA9F86">
    <w:name w:val="3ABF075A79F843BAB8FD76F4ECCA9F86"/>
    <w:rsid w:val="00CB0009"/>
  </w:style>
  <w:style w:type="paragraph" w:customStyle="1" w:styleId="634A1520EC8A43679E03A0E37A430906">
    <w:name w:val="634A1520EC8A43679E03A0E37A430906"/>
    <w:rsid w:val="00CB0009"/>
  </w:style>
  <w:style w:type="paragraph" w:customStyle="1" w:styleId="506B1AABC2E84C73BF918CD60224117F">
    <w:name w:val="506B1AABC2E84C73BF918CD60224117F"/>
    <w:rsid w:val="00CB0009"/>
  </w:style>
  <w:style w:type="paragraph" w:customStyle="1" w:styleId="F65C7325A76A4724AC07F703A9872150">
    <w:name w:val="F65C7325A76A4724AC07F703A9872150"/>
    <w:rsid w:val="00CB0009"/>
  </w:style>
  <w:style w:type="paragraph" w:customStyle="1" w:styleId="9C45629FC0934226B19BAE3EA7E84B05">
    <w:name w:val="9C45629FC0934226B19BAE3EA7E84B05"/>
    <w:rsid w:val="00CB0009"/>
  </w:style>
  <w:style w:type="paragraph" w:customStyle="1" w:styleId="656D07C7D9314470A5E5A642ACE180DC">
    <w:name w:val="656D07C7D9314470A5E5A642ACE180DC"/>
    <w:rsid w:val="00CB0009"/>
  </w:style>
  <w:style w:type="paragraph" w:customStyle="1" w:styleId="6222C768ED4F4CE585199A5209A98061">
    <w:name w:val="6222C768ED4F4CE585199A5209A98061"/>
    <w:rsid w:val="00CB0009"/>
  </w:style>
  <w:style w:type="paragraph" w:customStyle="1" w:styleId="8185DC4C03944EC3B686C882218D0AD1">
    <w:name w:val="8185DC4C03944EC3B686C882218D0AD1"/>
    <w:rsid w:val="00CB0009"/>
  </w:style>
  <w:style w:type="paragraph" w:customStyle="1" w:styleId="F07BE7F848F74EF499C3C888F9B29AD7">
    <w:name w:val="F07BE7F848F74EF499C3C888F9B29AD7"/>
    <w:rsid w:val="00CB0009"/>
  </w:style>
  <w:style w:type="paragraph" w:customStyle="1" w:styleId="AA15C0259697474FB44EDA680365D418">
    <w:name w:val="AA15C0259697474FB44EDA680365D418"/>
    <w:rsid w:val="00CB0009"/>
  </w:style>
  <w:style w:type="paragraph" w:customStyle="1" w:styleId="F102A5E85B41469AAB3F8102E3E034BF">
    <w:name w:val="F102A5E85B41469AAB3F8102E3E034BF"/>
    <w:rsid w:val="00CB0009"/>
  </w:style>
  <w:style w:type="paragraph" w:customStyle="1" w:styleId="B5F520B137BF461BA1D7985A6DCD7D84">
    <w:name w:val="B5F520B137BF461BA1D7985A6DCD7D84"/>
    <w:rsid w:val="00CB0009"/>
  </w:style>
  <w:style w:type="paragraph" w:customStyle="1" w:styleId="735AAFC0852F4C7D9137643B2B74C391">
    <w:name w:val="735AAFC0852F4C7D9137643B2B74C391"/>
    <w:rsid w:val="00CB0009"/>
  </w:style>
  <w:style w:type="paragraph" w:customStyle="1" w:styleId="964F82647FAF4E66817A8BF564AEF85F">
    <w:name w:val="964F82647FAF4E66817A8BF564AEF85F"/>
    <w:rsid w:val="00CB0009"/>
  </w:style>
  <w:style w:type="paragraph" w:customStyle="1" w:styleId="EBFD1B8D25544F85A8935CB635F60B46">
    <w:name w:val="EBFD1B8D25544F85A8935CB635F60B46"/>
    <w:rsid w:val="00CB0009"/>
  </w:style>
  <w:style w:type="paragraph" w:customStyle="1" w:styleId="7031655BC4A0411BA94E50D80E178BD9">
    <w:name w:val="7031655BC4A0411BA94E50D80E178BD9"/>
    <w:rsid w:val="00CB0009"/>
  </w:style>
  <w:style w:type="paragraph" w:customStyle="1" w:styleId="C7BE6AB3846F4C72B51E436FF9D1265F">
    <w:name w:val="C7BE6AB3846F4C72B51E436FF9D1265F"/>
    <w:rsid w:val="00CB0009"/>
  </w:style>
  <w:style w:type="paragraph" w:customStyle="1" w:styleId="F9E4E2A7CA5340479EB4EC4ED836060D">
    <w:name w:val="F9E4E2A7CA5340479EB4EC4ED836060D"/>
    <w:rsid w:val="00CB0009"/>
  </w:style>
  <w:style w:type="paragraph" w:customStyle="1" w:styleId="7CCCACF9554246B691934E15AFAECF41">
    <w:name w:val="7CCCACF9554246B691934E15AFAECF41"/>
    <w:rsid w:val="00CB0009"/>
  </w:style>
  <w:style w:type="paragraph" w:customStyle="1" w:styleId="DEB6844A16574117AB3B879E364F6DAD">
    <w:name w:val="DEB6844A16574117AB3B879E364F6DAD"/>
    <w:rsid w:val="00CB0009"/>
  </w:style>
  <w:style w:type="paragraph" w:customStyle="1" w:styleId="24D3744191CB4451BF3EBE90A9591B7A">
    <w:name w:val="24D3744191CB4451BF3EBE90A9591B7A"/>
    <w:rsid w:val="00CB0009"/>
  </w:style>
  <w:style w:type="paragraph" w:customStyle="1" w:styleId="1E7F02C749F742718B8EBA6680C28E10">
    <w:name w:val="1E7F02C749F742718B8EBA6680C28E10"/>
    <w:rsid w:val="00CB0009"/>
  </w:style>
  <w:style w:type="paragraph" w:customStyle="1" w:styleId="E3EF08E886FF46F8B1081ECEE753669C">
    <w:name w:val="E3EF08E886FF46F8B1081ECEE753669C"/>
    <w:rsid w:val="00CB00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72671858FF0B4B80590C0985A5F158" ma:contentTypeVersion="12" ma:contentTypeDescription="Create a new document." ma:contentTypeScope="" ma:versionID="1877c984c4e3b726e1ae9b1eb8c10c74">
  <xsd:schema xmlns:xsd="http://www.w3.org/2001/XMLSchema" xmlns:xs="http://www.w3.org/2001/XMLSchema" xmlns:p="http://schemas.microsoft.com/office/2006/metadata/properties" xmlns:ns2="c1a465f0-9ed0-43de-8189-a8c6f1075a5f" xmlns:ns3="1b00f30f-36d4-4fa1-aff8-52ec48b6e084" targetNamespace="http://schemas.microsoft.com/office/2006/metadata/properties" ma:root="true" ma:fieldsID="988c137564abf1d5aff72008bd45a647" ns2:_="" ns3:_="">
    <xsd:import namespace="c1a465f0-9ed0-43de-8189-a8c6f1075a5f"/>
    <xsd:import namespace="1b00f30f-36d4-4fa1-aff8-52ec48b6e0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465f0-9ed0-43de-8189-a8c6f1075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0f30f-36d4-4fa1-aff8-52ec48b6e0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890E12-980B-472F-9DF8-045FC9750C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C2EAEA-9B75-41DD-9371-2AB622A32318}"/>
</file>

<file path=customXml/itemProps3.xml><?xml version="1.0" encoding="utf-8"?>
<ds:datastoreItem xmlns:ds="http://schemas.openxmlformats.org/officeDocument/2006/customXml" ds:itemID="{5734EB80-4C2F-4653-B5CC-B6EE0D6D8C2D}"/>
</file>

<file path=customXml/itemProps4.xml><?xml version="1.0" encoding="utf-8"?>
<ds:datastoreItem xmlns:ds="http://schemas.openxmlformats.org/officeDocument/2006/customXml" ds:itemID="{7264D112-8FB1-4C7F-86EE-A1C423921E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1293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8389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Caterina Tassone</dc:creator>
  <cp:lastModifiedBy>Magaly Robbez</cp:lastModifiedBy>
  <cp:revision>5</cp:revision>
  <dcterms:created xsi:type="dcterms:W3CDTF">2020-03-17T16:44:00Z</dcterms:created>
  <dcterms:modified xsi:type="dcterms:W3CDTF">2020-03-17T17:29:00Z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0x0101007372671858FF0B4B80590C0985A5F158</vt:lpwstr>
  </property>
</Properties>
</file>