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431099" w:rsidP="000768AB">
      <w:pPr>
        <w:pStyle w:val="Heading1"/>
      </w:pPr>
      <w:r>
        <w:t>Sea Surface</w:t>
      </w:r>
      <w:r w:rsidR="00D01527" w:rsidRPr="00D01527">
        <w:t xml:space="preserve"> temperature</w:t>
      </w:r>
    </w:p>
    <w:p w:rsidR="009029F2" w:rsidRDefault="000251F0" w:rsidP="00431099">
      <w:pPr>
        <w:pStyle w:val="Heading2"/>
      </w:pPr>
      <w:r w:rsidRPr="009029F2">
        <w:t xml:space="preserve">ECV Product: </w:t>
      </w:r>
      <w:sdt>
        <w:sdtPr>
          <w:id w:val="134147333"/>
          <w:placeholder>
            <w:docPart w:val="DefaultPlaceholder_1082065158"/>
          </w:placeholder>
        </w:sdtPr>
        <w:sdtEndPr/>
        <w:sdtContent>
          <w:r w:rsidR="00431099" w:rsidRPr="00431099">
            <w:t>Sea surface temperature</w:t>
          </w:r>
        </w:sdtContent>
      </w:sdt>
    </w:p>
    <w:tbl>
      <w:tblPr>
        <w:tblW w:w="0" w:type="auto"/>
        <w:tblCellMar>
          <w:left w:w="0" w:type="dxa"/>
          <w:right w:w="0" w:type="dxa"/>
        </w:tblCellMar>
        <w:tblLook w:val="04A0" w:firstRow="1" w:lastRow="0" w:firstColumn="1" w:lastColumn="0" w:noHBand="0" w:noVBand="1"/>
      </w:tblPr>
      <w:tblGrid>
        <w:gridCol w:w="1155"/>
        <w:gridCol w:w="1160"/>
        <w:gridCol w:w="1371"/>
        <w:gridCol w:w="401"/>
        <w:gridCol w:w="1208"/>
        <w:gridCol w:w="5472"/>
      </w:tblGrid>
      <w:tr w:rsidR="00431099" w:rsidRPr="00431099" w:rsidTr="00431099">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rPr>
                <w:sz w:val="24"/>
                <w:szCs w:val="24"/>
              </w:rPr>
            </w:pPr>
            <w:r w:rsidRPr="00431099">
              <w:rPr>
                <w:b/>
                <w:bCs/>
                <w:color w:val="FFFFFF"/>
                <w:sz w:val="16"/>
                <w:szCs w:val="16"/>
                <w:bdr w:val="none" w:sz="0" w:space="0" w:color="auto" w:frame="1"/>
              </w:rPr>
              <w:t>Name</w:t>
            </w:r>
          </w:p>
        </w:tc>
        <w:tc>
          <w:tcPr>
            <w:tcW w:w="9528" w:type="dxa"/>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Sea surface temperature</w:t>
            </w:r>
          </w:p>
        </w:tc>
      </w:tr>
      <w:tr w:rsidR="00431099" w:rsidRPr="00431099" w:rsidTr="00431099">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rPr>
                <w:sz w:val="24"/>
                <w:szCs w:val="24"/>
              </w:rPr>
            </w:pPr>
            <w:r w:rsidRPr="00431099">
              <w:rPr>
                <w:b/>
                <w:bCs/>
                <w:color w:val="FFFFFF"/>
                <w:sz w:val="16"/>
                <w:szCs w:val="16"/>
                <w:bdr w:val="none" w:sz="0" w:space="0" w:color="auto" w:frame="1"/>
              </w:rPr>
              <w:t>Definition</w:t>
            </w:r>
          </w:p>
        </w:tc>
        <w:tc>
          <w:tcPr>
            <w:tcW w:w="9528"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Radiative skin sea surface temperature, or Bulk sea surface temperature at Stated depth</w:t>
            </w:r>
          </w:p>
        </w:tc>
      </w:tr>
      <w:tr w:rsidR="00431099" w:rsidRPr="00431099" w:rsidTr="00431099">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rPr>
                <w:sz w:val="24"/>
                <w:szCs w:val="24"/>
              </w:rPr>
            </w:pPr>
            <w:r w:rsidRPr="00431099">
              <w:rPr>
                <w:b/>
                <w:bCs/>
                <w:color w:val="FFFFFF"/>
                <w:sz w:val="16"/>
                <w:szCs w:val="16"/>
                <w:bdr w:val="none" w:sz="0" w:space="0" w:color="auto" w:frame="1"/>
              </w:rPr>
              <w:t>Unit</w:t>
            </w:r>
          </w:p>
        </w:tc>
        <w:tc>
          <w:tcPr>
            <w:tcW w:w="9528"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k</w:t>
            </w:r>
          </w:p>
        </w:tc>
      </w:tr>
      <w:tr w:rsidR="00431099" w:rsidRPr="00431099" w:rsidTr="00431099">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rPr>
                <w:sz w:val="24"/>
                <w:szCs w:val="24"/>
              </w:rPr>
            </w:pPr>
            <w:r w:rsidRPr="00431099">
              <w:rPr>
                <w:b/>
                <w:bCs/>
                <w:color w:val="FFFFFF"/>
                <w:sz w:val="16"/>
                <w:szCs w:val="16"/>
                <w:bdr w:val="none" w:sz="0" w:space="0" w:color="auto" w:frame="1"/>
              </w:rPr>
              <w:t>Note</w:t>
            </w:r>
          </w:p>
        </w:tc>
        <w:tc>
          <w:tcPr>
            <w:tcW w:w="9528"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jc w:val="center"/>
              <w:rPr>
                <w:sz w:val="24"/>
                <w:szCs w:val="24"/>
              </w:rPr>
            </w:pPr>
            <w:r w:rsidRPr="00431099">
              <w:rPr>
                <w:b/>
                <w:bCs/>
                <w:color w:val="FFFFFF"/>
                <w:sz w:val="16"/>
                <w:szCs w:val="16"/>
                <w:bdr w:val="none" w:sz="0" w:space="0" w:color="auto" w:frame="1"/>
              </w:rPr>
              <w:t>Requirements</w:t>
            </w:r>
          </w:p>
        </w:tc>
      </w:tr>
      <w:tr w:rsidR="00431099" w:rsidRPr="00431099" w:rsidTr="00431099">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jc w:val="center"/>
              <w:rPr>
                <w:sz w:val="24"/>
                <w:szCs w:val="24"/>
              </w:rPr>
            </w:pPr>
            <w:r w:rsidRPr="00431099">
              <w:rPr>
                <w:b/>
                <w:bCs/>
                <w:color w:val="FFFFFF"/>
                <w:sz w:val="16"/>
                <w:szCs w:val="16"/>
                <w:bdr w:val="none" w:sz="0" w:space="0" w:color="auto" w:frame="1"/>
              </w:rPr>
              <w:t>Item needed</w:t>
            </w:r>
          </w:p>
        </w:tc>
        <w:tc>
          <w:tcPr>
            <w:tcW w:w="1160"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jc w:val="center"/>
              <w:rPr>
                <w:sz w:val="24"/>
                <w:szCs w:val="24"/>
              </w:rPr>
            </w:pPr>
            <w:r w:rsidRPr="00431099">
              <w:rPr>
                <w:b/>
                <w:bCs/>
                <w:sz w:val="16"/>
                <w:szCs w:val="16"/>
                <w:bdr w:val="none" w:sz="0" w:space="0" w:color="auto" w:frame="1"/>
              </w:rPr>
              <w:t>Unit</w:t>
            </w:r>
          </w:p>
        </w:tc>
        <w:tc>
          <w:tcPr>
            <w:tcW w:w="1371"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jc w:val="center"/>
              <w:rPr>
                <w:sz w:val="24"/>
                <w:szCs w:val="24"/>
              </w:rPr>
            </w:pPr>
            <w:r w:rsidRPr="00431099">
              <w:rPr>
                <w:b/>
                <w:bCs/>
                <w:sz w:val="16"/>
                <w:szCs w:val="16"/>
                <w:bdr w:val="none" w:sz="0" w:space="0" w:color="auto" w:frame="1"/>
              </w:rPr>
              <w:t>Metric</w:t>
            </w:r>
          </w:p>
        </w:tc>
        <w:tc>
          <w:tcPr>
            <w:tcW w:w="31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jc w:val="center"/>
              <w:rPr>
                <w:sz w:val="24"/>
                <w:szCs w:val="24"/>
              </w:rPr>
            </w:pPr>
            <w:r w:rsidRPr="00431099">
              <w:rPr>
                <w:b/>
                <w:bCs/>
                <w:color w:val="1155CC"/>
                <w:sz w:val="16"/>
                <w:szCs w:val="16"/>
                <w:bdr w:val="none" w:sz="0" w:space="0" w:color="auto" w:frame="1"/>
              </w:rPr>
              <w:t>[1]</w:t>
            </w:r>
          </w:p>
        </w:tc>
        <w:tc>
          <w:tcPr>
            <w:tcW w:w="1208"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jc w:val="center"/>
              <w:rPr>
                <w:sz w:val="24"/>
                <w:szCs w:val="24"/>
              </w:rPr>
            </w:pPr>
            <w:r w:rsidRPr="00431099">
              <w:rPr>
                <w:b/>
                <w:bCs/>
                <w:sz w:val="16"/>
                <w:szCs w:val="16"/>
                <w:bdr w:val="none" w:sz="0" w:space="0" w:color="auto" w:frame="1"/>
              </w:rPr>
              <w:t>Value</w:t>
            </w:r>
          </w:p>
        </w:tc>
        <w:tc>
          <w:tcPr>
            <w:tcW w:w="5472"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jc w:val="center"/>
              <w:rPr>
                <w:sz w:val="24"/>
                <w:szCs w:val="24"/>
              </w:rPr>
            </w:pPr>
            <w:r w:rsidRPr="00431099">
              <w:rPr>
                <w:b/>
                <w:bCs/>
                <w:sz w:val="16"/>
                <w:szCs w:val="16"/>
                <w:bdr w:val="none" w:sz="0" w:space="0" w:color="auto" w:frame="1"/>
              </w:rPr>
              <w:t>Derivation and References and Standards</w:t>
            </w:r>
          </w:p>
        </w:tc>
      </w:tr>
      <w:tr w:rsidR="00431099" w:rsidRPr="00431099" w:rsidTr="00431099">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31099" w:rsidRPr="00431099" w:rsidRDefault="00431099">
            <w:pPr>
              <w:rPr>
                <w:sz w:val="24"/>
                <w:szCs w:val="24"/>
              </w:rPr>
            </w:pPr>
            <w:r w:rsidRPr="00431099">
              <w:rPr>
                <w:b/>
                <w:bCs/>
                <w:color w:val="FFFFFF"/>
                <w:sz w:val="16"/>
                <w:szCs w:val="16"/>
                <w:bdr w:val="none" w:sz="0" w:space="0" w:color="auto" w:frame="1"/>
              </w:rPr>
              <w:t>Horizontal Resolution</w:t>
            </w:r>
          </w:p>
        </w:tc>
        <w:tc>
          <w:tcPr>
            <w:tcW w:w="1160"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km</w:t>
            </w:r>
          </w:p>
        </w:tc>
        <w:tc>
          <w:tcPr>
            <w:tcW w:w="137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G</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1</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B</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T</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100</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31099" w:rsidRPr="00431099" w:rsidRDefault="00431099">
            <w:pPr>
              <w:rPr>
                <w:sz w:val="24"/>
                <w:szCs w:val="24"/>
              </w:rPr>
            </w:pPr>
            <w:r w:rsidRPr="00431099">
              <w:rPr>
                <w:b/>
                <w:bCs/>
                <w:color w:val="FFFFFF"/>
                <w:sz w:val="16"/>
                <w:szCs w:val="16"/>
                <w:bdr w:val="none" w:sz="0" w:space="0" w:color="auto" w:frame="1"/>
              </w:rPr>
              <w:t>Vertical Resolution</w:t>
            </w:r>
          </w:p>
        </w:tc>
        <w:tc>
          <w:tcPr>
            <w:tcW w:w="1160"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G</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B</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T</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31099" w:rsidRPr="00431099" w:rsidRDefault="00431099">
            <w:pPr>
              <w:rPr>
                <w:sz w:val="24"/>
                <w:szCs w:val="24"/>
              </w:rPr>
            </w:pPr>
            <w:r w:rsidRPr="00431099">
              <w:rPr>
                <w:b/>
                <w:bCs/>
                <w:color w:val="FFFFFF"/>
                <w:sz w:val="16"/>
                <w:szCs w:val="16"/>
                <w:bdr w:val="none" w:sz="0" w:space="0" w:color="auto" w:frame="1"/>
              </w:rPr>
              <w:t>Temporal Resolution</w:t>
            </w:r>
          </w:p>
        </w:tc>
        <w:tc>
          <w:tcPr>
            <w:tcW w:w="1160"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G</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r w:rsidRPr="00431099">
              <w:rPr>
                <w:sz w:val="16"/>
                <w:szCs w:val="16"/>
                <w:bdr w:val="none" w:sz="0" w:space="0" w:color="auto" w:frame="1"/>
              </w:rPr>
              <w:t>Daily</w:t>
            </w:r>
          </w:p>
          <w:p w:rsidR="00431099" w:rsidRPr="00431099" w:rsidRDefault="00431099">
            <w:pPr>
              <w:rPr>
                <w:sz w:val="24"/>
                <w:szCs w:val="24"/>
              </w:rPr>
            </w:pPr>
            <w:r w:rsidRPr="00431099">
              <w:rPr>
                <w:sz w:val="16"/>
                <w:szCs w:val="16"/>
                <w:bdr w:val="none" w:sz="0" w:space="0" w:color="auto" w:frame="1"/>
              </w:rPr>
              <w:t>Coastal: hourly</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B</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T</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Weekly</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31099" w:rsidRPr="00431099" w:rsidRDefault="00431099">
            <w:pPr>
              <w:rPr>
                <w:sz w:val="24"/>
                <w:szCs w:val="24"/>
              </w:rPr>
            </w:pPr>
            <w:r w:rsidRPr="00431099">
              <w:rPr>
                <w:b/>
                <w:bCs/>
                <w:color w:val="FFFFFF"/>
                <w:sz w:val="16"/>
                <w:szCs w:val="16"/>
                <w:bdr w:val="none" w:sz="0" w:space="0" w:color="auto" w:frame="1"/>
              </w:rPr>
              <w:t>Timeliness</w:t>
            </w:r>
          </w:p>
        </w:tc>
        <w:tc>
          <w:tcPr>
            <w:tcW w:w="1160"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G</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B</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T</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31099" w:rsidRPr="00431099" w:rsidRDefault="00431099">
            <w:pPr>
              <w:rPr>
                <w:sz w:val="24"/>
                <w:szCs w:val="24"/>
              </w:rPr>
            </w:pPr>
            <w:r w:rsidRPr="00431099">
              <w:rPr>
                <w:b/>
                <w:bCs/>
                <w:color w:val="FFFFFF"/>
                <w:sz w:val="16"/>
                <w:szCs w:val="16"/>
                <w:bdr w:val="none" w:sz="0" w:space="0" w:color="auto" w:frame="1"/>
              </w:rPr>
              <w:t>Required Measurement Uncertainty</w:t>
            </w:r>
          </w:p>
        </w:tc>
        <w:tc>
          <w:tcPr>
            <w:tcW w:w="1160"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k</w:t>
            </w:r>
          </w:p>
        </w:tc>
        <w:tc>
          <w:tcPr>
            <w:tcW w:w="137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G</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B</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rPr>
          <w:trHeight w:val="207"/>
        </w:trPr>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spacing w:line="207" w:lineRule="atLeast"/>
              <w:jc w:val="center"/>
              <w:rPr>
                <w:sz w:val="24"/>
                <w:szCs w:val="24"/>
              </w:rPr>
            </w:pPr>
            <w:r w:rsidRPr="00431099">
              <w:rPr>
                <w:sz w:val="16"/>
                <w:szCs w:val="16"/>
                <w:bdr w:val="none" w:sz="0" w:space="0" w:color="auto" w:frame="1"/>
              </w:rPr>
              <w:t>T</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spacing w:line="207" w:lineRule="atLeast"/>
              <w:rPr>
                <w:sz w:val="24"/>
                <w:szCs w:val="24"/>
              </w:rPr>
            </w:pPr>
            <w:r w:rsidRPr="00431099">
              <w:rPr>
                <w:sz w:val="16"/>
                <w:szCs w:val="16"/>
                <w:bdr w:val="none" w:sz="0" w:space="0" w:color="auto" w:frame="1"/>
              </w:rPr>
              <w:t>0.1 over 100km scales</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spacing w:line="207" w:lineRule="atLeast"/>
              <w:rPr>
                <w:sz w:val="24"/>
                <w:szCs w:val="24"/>
              </w:rPr>
            </w:pPr>
            <w:r w:rsidRPr="00431099">
              <w:rPr>
                <w:sz w:val="16"/>
                <w:szCs w:val="16"/>
                <w:bdr w:val="none" w:sz="0" w:space="0" w:color="auto" w:frame="1"/>
              </w:rPr>
              <w:t> </w:t>
            </w:r>
          </w:p>
        </w:tc>
      </w:tr>
      <w:tr w:rsidR="00431099" w:rsidRPr="00431099" w:rsidTr="00431099">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31099" w:rsidRPr="00431099" w:rsidRDefault="00431099">
            <w:pPr>
              <w:rPr>
                <w:sz w:val="24"/>
                <w:szCs w:val="24"/>
              </w:rPr>
            </w:pPr>
            <w:r w:rsidRPr="00431099">
              <w:rPr>
                <w:b/>
                <w:bCs/>
                <w:color w:val="FFFFFF"/>
                <w:sz w:val="16"/>
                <w:szCs w:val="16"/>
                <w:bdr w:val="none" w:sz="0" w:space="0" w:color="auto" w:frame="1"/>
              </w:rPr>
              <w:t>Stability</w:t>
            </w:r>
          </w:p>
        </w:tc>
        <w:tc>
          <w:tcPr>
            <w:tcW w:w="1160"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G</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B</w:t>
            </w:r>
          </w:p>
        </w:tc>
        <w:tc>
          <w:tcPr>
            <w:tcW w:w="120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color w:val="FF0000"/>
                <w:sz w:val="16"/>
                <w:szCs w:val="16"/>
                <w:bdr w:val="none" w:sz="0" w:space="0" w:color="auto" w:frame="1"/>
              </w:rPr>
              <w:t> </w:t>
            </w:r>
          </w:p>
        </w:tc>
      </w:tr>
      <w:tr w:rsidR="00431099" w:rsidRPr="00431099" w:rsidTr="00431099">
        <w:tc>
          <w:tcPr>
            <w:tcW w:w="0" w:type="auto"/>
            <w:vMerge/>
            <w:tcBorders>
              <w:top w:val="single" w:sz="8" w:space="0" w:color="FFFFFF"/>
              <w:left w:val="single" w:sz="8" w:space="0" w:color="FFFFFF"/>
              <w:bottom w:val="nil"/>
              <w:right w:val="single" w:sz="24"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0" w:type="auto"/>
            <w:vMerge/>
            <w:tcBorders>
              <w:top w:val="nil"/>
              <w:left w:val="nil"/>
              <w:bottom w:val="single" w:sz="8" w:space="0" w:color="FFFFFF"/>
              <w:right w:val="single" w:sz="8" w:space="0" w:color="FFFFFF"/>
            </w:tcBorders>
            <w:vAlign w:val="center"/>
            <w:hideMark/>
          </w:tcPr>
          <w:p w:rsidR="00431099" w:rsidRPr="00431099" w:rsidRDefault="00431099">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T</w:t>
            </w:r>
          </w:p>
        </w:tc>
        <w:tc>
          <w:tcPr>
            <w:tcW w:w="120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sz w:val="16"/>
                <w:szCs w:val="16"/>
                <w:bdr w:val="none" w:sz="0" w:space="0" w:color="auto" w:frame="1"/>
              </w:rPr>
              <w:t> </w:t>
            </w:r>
          </w:p>
        </w:tc>
        <w:tc>
          <w:tcPr>
            <w:tcW w:w="547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color w:val="FF0000"/>
                <w:sz w:val="16"/>
                <w:szCs w:val="16"/>
                <w:bdr w:val="none" w:sz="0" w:space="0" w:color="auto" w:frame="1"/>
              </w:rPr>
              <w:t> </w:t>
            </w:r>
          </w:p>
        </w:tc>
      </w:tr>
      <w:tr w:rsidR="00431099" w:rsidRPr="00431099" w:rsidTr="00431099">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31099" w:rsidRPr="00431099" w:rsidRDefault="00431099">
            <w:pPr>
              <w:rPr>
                <w:sz w:val="24"/>
                <w:szCs w:val="24"/>
              </w:rPr>
            </w:pPr>
            <w:r w:rsidRPr="00431099">
              <w:rPr>
                <w:b/>
                <w:bCs/>
                <w:color w:val="FFFFFF"/>
                <w:sz w:val="16"/>
                <w:szCs w:val="16"/>
                <w:bdr w:val="none" w:sz="0" w:space="0" w:color="auto" w:frame="1"/>
              </w:rPr>
              <w:t>Standards and References</w:t>
            </w:r>
          </w:p>
        </w:tc>
        <w:tc>
          <w:tcPr>
            <w:tcW w:w="9528"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pStyle w:val="NormalWeb"/>
              <w:spacing w:before="0" w:beforeAutospacing="0" w:after="0" w:afterAutospacing="0"/>
              <w:ind w:left="263"/>
              <w:rPr>
                <w:rFonts w:asciiTheme="minorHAnsi" w:hAnsiTheme="minorHAnsi"/>
                <w:lang w:val="en-US"/>
              </w:rPr>
            </w:pPr>
            <w:r w:rsidRPr="00431099">
              <w:rPr>
                <w:rFonts w:asciiTheme="minorHAnsi" w:hAnsiTheme="minorHAnsi"/>
                <w:sz w:val="16"/>
                <w:szCs w:val="16"/>
                <w:bdr w:val="none" w:sz="0" w:space="0" w:color="auto" w:frame="1"/>
                <w:lang w:val="en-US"/>
              </w:rPr>
              <w:t>·</w:t>
            </w:r>
            <w:r w:rsidRPr="00431099">
              <w:rPr>
                <w:rFonts w:asciiTheme="minorHAnsi" w:hAnsiTheme="minorHAnsi"/>
                <w:sz w:val="14"/>
                <w:szCs w:val="14"/>
                <w:bdr w:val="none" w:sz="0" w:space="0" w:color="auto" w:frame="1"/>
                <w:lang w:val="en-US"/>
              </w:rPr>
              <w:t>       </w:t>
            </w:r>
            <w:r w:rsidRPr="00431099">
              <w:rPr>
                <w:rFonts w:asciiTheme="minorHAnsi" w:hAnsiTheme="minorHAnsi"/>
                <w:sz w:val="16"/>
                <w:szCs w:val="16"/>
                <w:bdr w:val="none" w:sz="0" w:space="0" w:color="auto" w:frame="1"/>
                <w:lang w:val="en-US"/>
              </w:rPr>
              <w:t>Johnson et al (2015): Informing Deep Argo Array Design Using Argo and Full-Depth Hydrographic Section Data; </w:t>
            </w:r>
            <w:hyperlink r:id="rId9" w:tgtFrame="_blank" w:history="1">
              <w:r w:rsidRPr="00431099">
                <w:rPr>
                  <w:rStyle w:val="Hyperlink"/>
                  <w:rFonts w:asciiTheme="minorHAnsi" w:hAnsiTheme="minorHAnsi"/>
                  <w:color w:val="6611CC"/>
                  <w:sz w:val="16"/>
                  <w:szCs w:val="16"/>
                  <w:bdr w:val="none" w:sz="0" w:space="0" w:color="auto" w:frame="1"/>
                  <w:lang w:val="en-US"/>
                </w:rPr>
                <w:t>https://journals.ametsoc.org/doi/full/10.1175/JTECH-D-15-0139.1</w:t>
              </w:r>
            </w:hyperlink>
            <w:r w:rsidRPr="00431099">
              <w:rPr>
                <w:rFonts w:asciiTheme="minorHAnsi" w:hAnsiTheme="minorHAnsi"/>
                <w:sz w:val="16"/>
                <w:szCs w:val="16"/>
                <w:bdr w:val="none" w:sz="0" w:space="0" w:color="auto" w:frame="1"/>
                <w:lang w:val="en-US"/>
              </w:rPr>
              <w:t>       ; 5 x 5 degree array proposed with 15-day repeat cycle. Estimated reduction of sub-2000 m OHC error in decadal trends from +/- 17 TW to +/- 3 TW.</w:t>
            </w:r>
          </w:p>
          <w:p w:rsidR="00431099" w:rsidRPr="00431099" w:rsidRDefault="00431099">
            <w:pPr>
              <w:pStyle w:val="NormalWeb"/>
              <w:spacing w:before="0" w:beforeAutospacing="0" w:after="0" w:afterAutospacing="0"/>
              <w:ind w:left="263"/>
              <w:rPr>
                <w:rFonts w:asciiTheme="minorHAnsi" w:hAnsiTheme="minorHAnsi"/>
                <w:lang w:val="en-US"/>
              </w:rPr>
            </w:pPr>
            <w:r w:rsidRPr="00431099">
              <w:rPr>
                <w:rFonts w:asciiTheme="minorHAnsi" w:hAnsiTheme="minorHAnsi"/>
                <w:sz w:val="16"/>
                <w:szCs w:val="16"/>
                <w:bdr w:val="none" w:sz="0" w:space="0" w:color="auto" w:frame="1"/>
                <w:lang w:val="en-US"/>
              </w:rPr>
              <w:t>·</w:t>
            </w:r>
            <w:r w:rsidRPr="00431099">
              <w:rPr>
                <w:rFonts w:asciiTheme="minorHAnsi" w:hAnsiTheme="minorHAnsi"/>
                <w:sz w:val="14"/>
                <w:szCs w:val="14"/>
                <w:bdr w:val="none" w:sz="0" w:space="0" w:color="auto" w:frame="1"/>
                <w:lang w:val="en-US"/>
              </w:rPr>
              <w:t>       </w:t>
            </w:r>
            <w:r w:rsidRPr="00431099">
              <w:rPr>
                <w:rFonts w:asciiTheme="minorHAnsi" w:hAnsiTheme="minorHAnsi"/>
                <w:sz w:val="16"/>
                <w:szCs w:val="16"/>
                <w:bdr w:val="none" w:sz="0" w:space="0" w:color="auto" w:frame="1"/>
                <w:lang w:val="en-US"/>
              </w:rPr>
              <w:t>Palmer et al (2010): Future Observations for Monitoring Global Ocean Heat Content; </w:t>
            </w:r>
            <w:hyperlink r:id="rId10" w:tgtFrame="_blank" w:history="1">
              <w:r w:rsidRPr="00431099">
                <w:rPr>
                  <w:rStyle w:val="Hyperlink"/>
                  <w:rFonts w:asciiTheme="minorHAnsi" w:hAnsiTheme="minorHAnsi"/>
                  <w:color w:val="6611CC"/>
                  <w:sz w:val="16"/>
                  <w:szCs w:val="16"/>
                  <w:bdr w:val="none" w:sz="0" w:space="0" w:color="auto" w:frame="1"/>
                  <w:lang w:val="en-US"/>
                </w:rPr>
                <w:t>http://www.oceanobs09.net/proceedings/cwp/Palmer-OceanObs09.cwp.68.pdf</w:t>
              </w:r>
            </w:hyperlink>
            <w:r w:rsidRPr="00431099">
              <w:rPr>
                <w:rFonts w:asciiTheme="minorHAnsi" w:hAnsiTheme="minorHAnsi"/>
                <w:sz w:val="16"/>
                <w:szCs w:val="16"/>
                <w:bdr w:val="none" w:sz="0" w:space="0" w:color="auto" w:frame="1"/>
                <w:lang w:val="en-US"/>
              </w:rPr>
              <w:t xml:space="preserve">; Table 1 in the paper includes GCOS Observation </w:t>
            </w:r>
            <w:r w:rsidRPr="00431099">
              <w:rPr>
                <w:rFonts w:asciiTheme="minorHAnsi" w:hAnsiTheme="minorHAnsi"/>
                <w:sz w:val="16"/>
                <w:szCs w:val="16"/>
                <w:bdr w:val="none" w:sz="0" w:space="0" w:color="auto" w:frame="1"/>
                <w:lang w:val="en-US"/>
              </w:rPr>
              <w:lastRenderedPageBreak/>
              <w:t>Requirements in WMO/CEOS Database for upper ocean temperature and salinity</w:t>
            </w:r>
          </w:p>
          <w:p w:rsidR="00431099" w:rsidRPr="00431099" w:rsidRDefault="00431099">
            <w:pPr>
              <w:pStyle w:val="NormalWeb"/>
              <w:spacing w:before="0" w:beforeAutospacing="0" w:after="0" w:afterAutospacing="0"/>
              <w:ind w:left="263"/>
              <w:rPr>
                <w:rFonts w:asciiTheme="minorHAnsi" w:hAnsiTheme="minorHAnsi"/>
                <w:lang w:val="en-US"/>
              </w:rPr>
            </w:pPr>
            <w:r w:rsidRPr="00431099">
              <w:rPr>
                <w:rFonts w:asciiTheme="minorHAnsi" w:hAnsiTheme="minorHAnsi"/>
                <w:sz w:val="16"/>
                <w:szCs w:val="16"/>
                <w:bdr w:val="none" w:sz="0" w:space="0" w:color="auto" w:frame="1"/>
                <w:lang w:val="en-US"/>
              </w:rPr>
              <w:t>·</w:t>
            </w:r>
            <w:r w:rsidRPr="00431099">
              <w:rPr>
                <w:rFonts w:asciiTheme="minorHAnsi" w:hAnsiTheme="minorHAnsi"/>
                <w:sz w:val="14"/>
                <w:szCs w:val="14"/>
                <w:bdr w:val="none" w:sz="0" w:space="0" w:color="auto" w:frame="1"/>
                <w:lang w:val="en-US"/>
              </w:rPr>
              <w:t>       </w:t>
            </w:r>
            <w:r w:rsidRPr="00431099">
              <w:rPr>
                <w:rFonts w:asciiTheme="minorHAnsi" w:hAnsiTheme="minorHAnsi"/>
                <w:sz w:val="16"/>
                <w:szCs w:val="16"/>
                <w:bdr w:val="none" w:sz="0" w:space="0" w:color="auto" w:frame="1"/>
                <w:lang w:val="en-US"/>
              </w:rPr>
              <w:t>Abraham et al (2013): A review of global ocean temperature observations: Implications for ocean heat content estimates and climate change; </w:t>
            </w:r>
            <w:hyperlink r:id="rId11" w:tgtFrame="_blank" w:history="1">
              <w:r w:rsidRPr="00431099">
                <w:rPr>
                  <w:rStyle w:val="Hyperlink"/>
                  <w:rFonts w:asciiTheme="minorHAnsi" w:hAnsiTheme="minorHAnsi"/>
                  <w:color w:val="6611CC"/>
                  <w:sz w:val="16"/>
                  <w:szCs w:val="16"/>
                  <w:bdr w:val="none" w:sz="0" w:space="0" w:color="auto" w:frame="1"/>
                  <w:lang w:val="en-US"/>
                </w:rPr>
                <w:t>https://agupubs.onlinelibrary.wiley.com/doi/full/10.1002/rog.20022</w:t>
              </w:r>
            </w:hyperlink>
            <w:r w:rsidRPr="00431099">
              <w:rPr>
                <w:rFonts w:asciiTheme="minorHAnsi" w:hAnsiTheme="minorHAnsi"/>
                <w:sz w:val="16"/>
                <w:szCs w:val="16"/>
                <w:bdr w:val="none" w:sz="0" w:space="0" w:color="auto" w:frame="1"/>
                <w:lang w:val="en-US"/>
              </w:rPr>
              <w:t xml:space="preserve">; Review of the historical </w:t>
            </w:r>
            <w:proofErr w:type="spellStart"/>
            <w:r w:rsidRPr="00431099">
              <w:rPr>
                <w:rFonts w:asciiTheme="minorHAnsi" w:hAnsiTheme="minorHAnsi"/>
                <w:sz w:val="16"/>
                <w:szCs w:val="16"/>
                <w:bdr w:val="none" w:sz="0" w:space="0" w:color="auto" w:frame="1"/>
                <w:lang w:val="en-US"/>
              </w:rPr>
              <w:t>tempeature</w:t>
            </w:r>
            <w:proofErr w:type="spellEnd"/>
            <w:r w:rsidRPr="00431099">
              <w:rPr>
                <w:rFonts w:asciiTheme="minorHAnsi" w:hAnsiTheme="minorHAnsi"/>
                <w:sz w:val="16"/>
                <w:szCs w:val="16"/>
                <w:bdr w:val="none" w:sz="0" w:space="0" w:color="auto" w:frame="1"/>
                <w:lang w:val="en-US"/>
              </w:rPr>
              <w:t xml:space="preserve"> measurements and comparison of estimated rates of OHC change. I can't see any recommended sampling characteristics or sensor accuracies (based on a quick scan of the document).</w:t>
            </w:r>
          </w:p>
          <w:p w:rsidR="00431099" w:rsidRPr="00431099" w:rsidRDefault="00431099">
            <w:pPr>
              <w:pStyle w:val="NormalWeb"/>
              <w:spacing w:before="0" w:beforeAutospacing="0" w:after="0" w:afterAutospacing="0"/>
              <w:ind w:left="263"/>
              <w:rPr>
                <w:rFonts w:asciiTheme="minorHAnsi" w:hAnsiTheme="minorHAnsi"/>
                <w:lang w:val="en-US"/>
              </w:rPr>
            </w:pPr>
            <w:r w:rsidRPr="00431099">
              <w:rPr>
                <w:rFonts w:asciiTheme="minorHAnsi" w:hAnsiTheme="minorHAnsi"/>
                <w:sz w:val="16"/>
                <w:szCs w:val="16"/>
                <w:bdr w:val="none" w:sz="0" w:space="0" w:color="auto" w:frame="1"/>
                <w:lang w:val="en-US"/>
              </w:rPr>
              <w:t>·</w:t>
            </w:r>
            <w:r w:rsidRPr="00431099">
              <w:rPr>
                <w:rFonts w:asciiTheme="minorHAnsi" w:hAnsiTheme="minorHAnsi"/>
                <w:sz w:val="14"/>
                <w:szCs w:val="14"/>
                <w:bdr w:val="none" w:sz="0" w:space="0" w:color="auto" w:frame="1"/>
                <w:lang w:val="en-US"/>
              </w:rPr>
              <w:t>       </w:t>
            </w:r>
            <w:proofErr w:type="spellStart"/>
            <w:r w:rsidRPr="00431099">
              <w:rPr>
                <w:rFonts w:asciiTheme="minorHAnsi" w:hAnsiTheme="minorHAnsi"/>
                <w:sz w:val="16"/>
                <w:szCs w:val="16"/>
                <w:bdr w:val="none" w:sz="0" w:space="0" w:color="auto" w:frame="1"/>
                <w:lang w:val="en-US"/>
              </w:rPr>
              <w:t>Desbruyeres</w:t>
            </w:r>
            <w:proofErr w:type="spellEnd"/>
            <w:r w:rsidRPr="00431099">
              <w:rPr>
                <w:rFonts w:asciiTheme="minorHAnsi" w:hAnsiTheme="minorHAnsi"/>
                <w:sz w:val="16"/>
                <w:szCs w:val="16"/>
                <w:bdr w:val="none" w:sz="0" w:space="0" w:color="auto" w:frame="1"/>
                <w:lang w:val="en-US"/>
              </w:rPr>
              <w:t xml:space="preserve"> et al (2017) : Global and Full-Depth Ocean Temperature Trends during the Early Twenty-First Century from Argo and Repeat Hydrography; </w:t>
            </w:r>
            <w:hyperlink r:id="rId12" w:tgtFrame="_blank" w:history="1">
              <w:r w:rsidRPr="00431099">
                <w:rPr>
                  <w:rStyle w:val="Hyperlink"/>
                  <w:rFonts w:asciiTheme="minorHAnsi" w:hAnsiTheme="minorHAnsi"/>
                  <w:color w:val="6611CC"/>
                  <w:sz w:val="16"/>
                  <w:szCs w:val="16"/>
                  <w:bdr w:val="none" w:sz="0" w:space="0" w:color="auto" w:frame="1"/>
                  <w:lang w:val="en-US"/>
                </w:rPr>
                <w:t>https://journals.ametsoc.org/doi/full/10.1175/JCLI-D-16-0396.1</w:t>
              </w:r>
            </w:hyperlink>
            <w:r w:rsidRPr="00431099">
              <w:rPr>
                <w:rFonts w:asciiTheme="minorHAnsi" w:hAnsiTheme="minorHAnsi"/>
                <w:sz w:val="16"/>
                <w:szCs w:val="16"/>
                <w:bdr w:val="none" w:sz="0" w:space="0" w:color="auto" w:frame="1"/>
                <w:lang w:val="en-US"/>
              </w:rPr>
              <w:t>; "Estimate of global ocean heat uptake of  0.71 ± 0.09 W m−2 during 2006-2014 with &lt; 2000m layer accounting for 90% of the observed change.</w:t>
            </w:r>
          </w:p>
          <w:p w:rsidR="00431099" w:rsidRPr="00431099" w:rsidRDefault="00431099">
            <w:pPr>
              <w:pStyle w:val="NormalWeb"/>
              <w:spacing w:before="0" w:beforeAutospacing="0" w:after="0" w:afterAutospacing="0"/>
              <w:rPr>
                <w:rFonts w:asciiTheme="minorHAnsi" w:hAnsiTheme="minorHAnsi"/>
                <w:lang w:val="en-US"/>
              </w:rPr>
            </w:pPr>
            <w:r w:rsidRPr="00431099">
              <w:rPr>
                <w:rFonts w:asciiTheme="minorHAnsi" w:hAnsiTheme="minorHAnsi"/>
                <w:sz w:val="16"/>
                <w:szCs w:val="16"/>
                <w:bdr w:val="none" w:sz="0" w:space="0" w:color="auto" w:frame="1"/>
                <w:lang w:val="en-US"/>
              </w:rPr>
              <w:t> </w:t>
            </w:r>
          </w:p>
        </w:tc>
      </w:tr>
      <w:tr w:rsidR="00431099" w:rsidRPr="00431099" w:rsidTr="00431099">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jc w:val="center"/>
              <w:rPr>
                <w:sz w:val="24"/>
                <w:szCs w:val="24"/>
              </w:rPr>
            </w:pPr>
            <w:r w:rsidRPr="00431099">
              <w:rPr>
                <w:b/>
                <w:bCs/>
                <w:color w:val="FFFFFF"/>
                <w:sz w:val="16"/>
                <w:szCs w:val="16"/>
                <w:bdr w:val="none" w:sz="0" w:space="0" w:color="auto" w:frame="1"/>
              </w:rPr>
              <w:lastRenderedPageBreak/>
              <w:t>Adaptation and Extremes</w:t>
            </w:r>
          </w:p>
        </w:tc>
      </w:tr>
      <w:tr w:rsidR="00431099" w:rsidRPr="00431099" w:rsidTr="00431099">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rPr>
                <w:sz w:val="24"/>
                <w:szCs w:val="24"/>
              </w:rPr>
            </w:pPr>
            <w:r w:rsidRPr="00431099">
              <w:rPr>
                <w:b/>
                <w:bCs/>
                <w:color w:val="FFFFFF"/>
                <w:sz w:val="16"/>
                <w:szCs w:val="16"/>
                <w:bdr w:val="none" w:sz="0" w:space="0" w:color="auto" w:frame="1"/>
              </w:rPr>
              <w:t> </w:t>
            </w:r>
          </w:p>
        </w:tc>
        <w:tc>
          <w:tcPr>
            <w:tcW w:w="1160"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Relevant? (Yes/No)</w:t>
            </w:r>
          </w:p>
        </w:tc>
        <w:tc>
          <w:tcPr>
            <w:tcW w:w="1371"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proofErr w:type="spellStart"/>
            <w:r w:rsidRPr="00431099">
              <w:rPr>
                <w:sz w:val="16"/>
                <w:szCs w:val="16"/>
                <w:bdr w:val="none" w:sz="0" w:space="0" w:color="auto" w:frame="1"/>
              </w:rPr>
              <w:t>Sugg</w:t>
            </w:r>
            <w:proofErr w:type="spellEnd"/>
            <w:r w:rsidRPr="00431099">
              <w:rPr>
                <w:sz w:val="16"/>
                <w:szCs w:val="16"/>
                <w:bdr w:val="none" w:sz="0" w:space="0" w:color="auto" w:frame="1"/>
              </w:rPr>
              <w:t>. Req. sufficient? (Yes/No)</w:t>
            </w:r>
          </w:p>
        </w:tc>
        <w:tc>
          <w:tcPr>
            <w:tcW w:w="6997"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31099" w:rsidRPr="00431099" w:rsidRDefault="00431099">
            <w:pPr>
              <w:jc w:val="center"/>
              <w:rPr>
                <w:sz w:val="24"/>
                <w:szCs w:val="24"/>
              </w:rPr>
            </w:pPr>
            <w:r w:rsidRPr="00431099">
              <w:rPr>
                <w:sz w:val="16"/>
                <w:szCs w:val="16"/>
                <w:bdr w:val="none" w:sz="0" w:space="0" w:color="auto" w:frame="1"/>
              </w:rPr>
              <w:t>Explanation</w:t>
            </w:r>
          </w:p>
        </w:tc>
      </w:tr>
      <w:tr w:rsidR="00431099" w:rsidRPr="00431099" w:rsidTr="00431099">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31099" w:rsidRPr="00431099" w:rsidRDefault="00431099">
            <w:pPr>
              <w:rPr>
                <w:sz w:val="24"/>
                <w:szCs w:val="24"/>
              </w:rPr>
            </w:pPr>
            <w:r w:rsidRPr="00431099">
              <w:rPr>
                <w:b/>
                <w:bCs/>
                <w:color w:val="FFFFFF"/>
                <w:sz w:val="16"/>
                <w:szCs w:val="16"/>
                <w:bdr w:val="none" w:sz="0" w:space="0" w:color="auto" w:frame="1"/>
              </w:rPr>
              <w:t>Adaptation[2]</w:t>
            </w:r>
          </w:p>
        </w:tc>
        <w:tc>
          <w:tcPr>
            <w:tcW w:w="1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jc w:val="center"/>
              <w:rPr>
                <w:sz w:val="24"/>
                <w:szCs w:val="24"/>
              </w:rPr>
            </w:pPr>
            <w:r w:rsidRPr="00431099">
              <w:rPr>
                <w:color w:val="FF0000"/>
                <w:sz w:val="16"/>
                <w:szCs w:val="16"/>
                <w:bdr w:val="none" w:sz="0" w:space="0" w:color="auto" w:frame="1"/>
              </w:rPr>
              <w:t> </w:t>
            </w:r>
          </w:p>
        </w:tc>
        <w:tc>
          <w:tcPr>
            <w:tcW w:w="1371"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jc w:val="center"/>
              <w:rPr>
                <w:sz w:val="24"/>
                <w:szCs w:val="24"/>
              </w:rPr>
            </w:pPr>
            <w:r w:rsidRPr="00431099">
              <w:rPr>
                <w:color w:val="FF0000"/>
                <w:sz w:val="16"/>
                <w:szCs w:val="16"/>
                <w:bdr w:val="none" w:sz="0" w:space="0" w:color="auto" w:frame="1"/>
              </w:rPr>
              <w:t> </w:t>
            </w:r>
          </w:p>
        </w:tc>
        <w:tc>
          <w:tcPr>
            <w:tcW w:w="6997"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31099" w:rsidRPr="00431099" w:rsidRDefault="00431099">
            <w:pPr>
              <w:rPr>
                <w:sz w:val="24"/>
                <w:szCs w:val="24"/>
              </w:rPr>
            </w:pPr>
            <w:r w:rsidRPr="00431099">
              <w:rPr>
                <w:color w:val="FF0000"/>
                <w:sz w:val="16"/>
                <w:szCs w:val="16"/>
                <w:bdr w:val="none" w:sz="0" w:space="0" w:color="auto" w:frame="1"/>
              </w:rPr>
              <w:t> </w:t>
            </w:r>
          </w:p>
        </w:tc>
      </w:tr>
      <w:tr w:rsidR="00431099" w:rsidRPr="00431099" w:rsidTr="00431099">
        <w:trPr>
          <w:trHeight w:val="266"/>
        </w:trPr>
        <w:tc>
          <w:tcPr>
            <w:tcW w:w="1155"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31099" w:rsidRPr="00431099" w:rsidRDefault="00431099">
            <w:pPr>
              <w:rPr>
                <w:sz w:val="24"/>
                <w:szCs w:val="24"/>
              </w:rPr>
            </w:pPr>
            <w:r w:rsidRPr="00431099">
              <w:rPr>
                <w:b/>
                <w:bCs/>
                <w:color w:val="FFFFFF"/>
                <w:sz w:val="16"/>
                <w:szCs w:val="16"/>
                <w:bdr w:val="none" w:sz="0" w:space="0" w:color="auto" w:frame="1"/>
              </w:rPr>
              <w:t>Extremes[3]</w:t>
            </w:r>
          </w:p>
        </w:tc>
        <w:tc>
          <w:tcPr>
            <w:tcW w:w="11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jc w:val="center"/>
              <w:rPr>
                <w:sz w:val="24"/>
                <w:szCs w:val="24"/>
              </w:rPr>
            </w:pPr>
            <w:r w:rsidRPr="00431099">
              <w:rPr>
                <w:color w:val="FF0000"/>
                <w:sz w:val="16"/>
                <w:szCs w:val="16"/>
                <w:bdr w:val="none" w:sz="0" w:space="0" w:color="auto" w:frame="1"/>
              </w:rPr>
              <w:t> </w:t>
            </w:r>
          </w:p>
        </w:tc>
        <w:tc>
          <w:tcPr>
            <w:tcW w:w="1371"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jc w:val="center"/>
              <w:rPr>
                <w:sz w:val="24"/>
                <w:szCs w:val="24"/>
              </w:rPr>
            </w:pPr>
            <w:r w:rsidRPr="00431099">
              <w:rPr>
                <w:color w:val="FF0000"/>
                <w:sz w:val="16"/>
                <w:szCs w:val="16"/>
                <w:bdr w:val="none" w:sz="0" w:space="0" w:color="auto" w:frame="1"/>
              </w:rPr>
              <w:t> </w:t>
            </w:r>
          </w:p>
        </w:tc>
        <w:tc>
          <w:tcPr>
            <w:tcW w:w="6997"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31099" w:rsidRPr="00431099" w:rsidRDefault="00431099">
            <w:pPr>
              <w:rPr>
                <w:sz w:val="24"/>
                <w:szCs w:val="24"/>
              </w:rPr>
            </w:pPr>
            <w:r w:rsidRPr="00431099">
              <w:rPr>
                <w:color w:val="FF0000"/>
                <w:sz w:val="16"/>
                <w:szCs w:val="16"/>
                <w:bdr w:val="none" w:sz="0" w:space="0" w:color="auto" w:frame="1"/>
              </w:rPr>
              <w:t> </w:t>
            </w:r>
          </w:p>
        </w:tc>
      </w:tr>
    </w:tbl>
    <w:p w:rsidR="00431099" w:rsidRDefault="00431099" w:rsidP="00431099">
      <w:pPr>
        <w:rPr>
          <w:color w:val="222222"/>
        </w:rPr>
      </w:pPr>
      <w:r>
        <w:rPr>
          <w:color w:val="222222"/>
        </w:rPr>
        <w:br w:type="textWrapping" w:clear="all"/>
      </w:r>
    </w:p>
    <w:p w:rsidR="00431099" w:rsidRDefault="00431099" w:rsidP="00431099">
      <w:pPr>
        <w:rPr>
          <w:color w:val="222222"/>
        </w:rPr>
      </w:pPr>
      <w:r>
        <w:rPr>
          <w:color w:val="222222"/>
        </w:rPr>
        <w:pict>
          <v:rect id="_x0000_i1025" style="width:178.2pt;height:.75pt" o:hrpct="330" o:hrstd="t" o:hr="t" fillcolor="#a0a0a0" stroked="f"/>
        </w:pict>
      </w:r>
    </w:p>
    <w:p w:rsidR="00431099" w:rsidRPr="00431099" w:rsidRDefault="00431099" w:rsidP="00431099">
      <w:pPr>
        <w:pStyle w:val="NormalWeb"/>
        <w:spacing w:before="0" w:beforeAutospacing="0" w:after="0" w:afterAutospacing="0"/>
        <w:rPr>
          <w:color w:val="222222"/>
          <w:lang w:val="en-US"/>
        </w:rPr>
      </w:pPr>
      <w:r>
        <w:rPr>
          <w:rFonts w:ascii="Calibri" w:hAnsi="Calibri"/>
          <w:color w:val="1155CC"/>
          <w:sz w:val="22"/>
          <w:szCs w:val="22"/>
          <w:bdr w:val="none" w:sz="0" w:space="0" w:color="auto" w:frame="1"/>
          <w:lang w:val="en-US"/>
        </w:rPr>
        <w:t>[1]</w:t>
      </w:r>
      <w:r w:rsidRPr="00431099">
        <w:rPr>
          <w:color w:val="222222"/>
          <w:sz w:val="16"/>
          <w:szCs w:val="16"/>
          <w:bdr w:val="none" w:sz="0" w:space="0" w:color="auto" w:frame="1"/>
          <w:lang w:val="en-US"/>
        </w:rPr>
        <w:t>Goal (G); Breakthrough (B)(not mandatory, more as one possible); Threshold (T), for definitions see </w:t>
      </w:r>
      <w:hyperlink r:id="rId13" w:tgtFrame="_blank" w:history="1">
        <w:r>
          <w:rPr>
            <w:rStyle w:val="Hyperlink"/>
            <w:color w:val="6611CC"/>
            <w:sz w:val="16"/>
            <w:szCs w:val="16"/>
            <w:bdr w:val="none" w:sz="0" w:space="0" w:color="auto" w:frame="1"/>
            <w:lang w:val="en-GB"/>
          </w:rPr>
          <w:t>Guidelines</w:t>
        </w:r>
      </w:hyperlink>
    </w:p>
    <w:p w:rsidR="00431099" w:rsidRPr="00431099" w:rsidRDefault="00431099" w:rsidP="00431099">
      <w:pPr>
        <w:pStyle w:val="NormalWeb"/>
        <w:spacing w:before="0" w:beforeAutospacing="0" w:after="0" w:afterAutospacing="0"/>
        <w:rPr>
          <w:color w:val="222222"/>
          <w:lang w:val="en-US"/>
        </w:rPr>
      </w:pPr>
      <w:r>
        <w:rPr>
          <w:rFonts w:ascii="Calibri" w:hAnsi="Calibri"/>
          <w:color w:val="1155CC"/>
          <w:sz w:val="20"/>
          <w:szCs w:val="20"/>
          <w:bdr w:val="none" w:sz="0" w:space="0" w:color="auto" w:frame="1"/>
          <w:lang w:val="en-US"/>
        </w:rPr>
        <w:t>[2]</w:t>
      </w:r>
      <w:r>
        <w:rPr>
          <w:color w:val="222222"/>
          <w:bdr w:val="none" w:sz="0" w:space="0" w:color="auto" w:frame="1"/>
          <w:lang w:val="en-US"/>
        </w:rPr>
        <w:t> </w:t>
      </w:r>
      <w:r>
        <w:rPr>
          <w:color w:val="222222"/>
          <w:sz w:val="16"/>
          <w:szCs w:val="16"/>
          <w:bdr w:val="none" w:sz="0" w:space="0" w:color="auto" w:frame="1"/>
          <w:lang w:val="en-US"/>
        </w:rPr>
        <w:t>Is the ECV Product directly relevant to support Climate Adaptation?</w:t>
      </w:r>
    </w:p>
    <w:p w:rsidR="00431099" w:rsidRPr="00431099" w:rsidRDefault="00431099" w:rsidP="00431099">
      <w:pPr>
        <w:pStyle w:val="NormalWeb"/>
        <w:spacing w:before="0" w:beforeAutospacing="0" w:after="0" w:afterAutospacing="0"/>
        <w:rPr>
          <w:color w:val="222222"/>
          <w:lang w:val="en-US"/>
        </w:rPr>
      </w:pPr>
      <w:bookmarkStart w:id="0" w:name="03e001cc-a80d-4e85-84df-d13f17b5d823@wmo"/>
      <w:r>
        <w:rPr>
          <w:rFonts w:ascii="Calibri" w:hAnsi="Calibri"/>
          <w:color w:val="1155CC"/>
          <w:sz w:val="20"/>
          <w:szCs w:val="20"/>
          <w:bdr w:val="none" w:sz="0" w:space="0" w:color="auto" w:frame="1"/>
          <w:lang w:val="en-US"/>
        </w:rPr>
        <w:t>[3]</w:t>
      </w:r>
      <w:bookmarkEnd w:id="0"/>
      <w:r>
        <w:rPr>
          <w:color w:val="222222"/>
          <w:bdr w:val="none" w:sz="0" w:space="0" w:color="auto" w:frame="1"/>
          <w:lang w:val="en-US"/>
        </w:rPr>
        <w:t> </w:t>
      </w:r>
      <w:r>
        <w:rPr>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431099">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431099">
                  <w:rPr>
                    <w:sz w:val="20"/>
                    <w:szCs w:val="20"/>
                  </w:rPr>
                  <w:t>Chris Merchant</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431099" w:rsidRPr="00431099">
                  <w:rPr>
                    <w:sz w:val="20"/>
                    <w:szCs w:val="20"/>
                  </w:rPr>
                  <w:t>c.j.merchant@reading.ac.uk</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431099" w:rsidRPr="00431099" w:rsidRDefault="00431099" w:rsidP="00431099">
                <w:pPr>
                  <w:rPr>
                    <w:sz w:val="20"/>
                    <w:szCs w:val="20"/>
                  </w:rPr>
                </w:pPr>
                <w:r w:rsidRPr="00431099">
                  <w:rPr>
                    <w:sz w:val="20"/>
                    <w:szCs w:val="20"/>
                  </w:rPr>
                  <w:t xml:space="preserve">I note the additional requirement about "coastal" temporal resolution, which I agree with as a goal. But I think it implies a corresponding spatial resolution goal, since interest in river-outflow-tide interactions, </w:t>
                </w:r>
                <w:proofErr w:type="spellStart"/>
                <w:r w:rsidRPr="00431099">
                  <w:rPr>
                    <w:sz w:val="20"/>
                    <w:szCs w:val="20"/>
                  </w:rPr>
                  <w:t>etc</w:t>
                </w:r>
                <w:proofErr w:type="spellEnd"/>
                <w:r w:rsidRPr="00431099">
                  <w:rPr>
                    <w:sz w:val="20"/>
                    <w:szCs w:val="20"/>
                  </w:rPr>
                  <w:t xml:space="preserve">, in the coastal zone would operate at a higher spatial resolution than 1 km in many locations. Perhaps a coastal-only resolution goal of 50 m, with breakthrough at 100m, say, would reflect the requirements of coastal zone </w:t>
                </w:r>
                <w:proofErr w:type="spellStart"/>
                <w:r w:rsidRPr="00431099">
                  <w:rPr>
                    <w:sz w:val="20"/>
                    <w:szCs w:val="20"/>
                  </w:rPr>
                  <w:t>modellers</w:t>
                </w:r>
                <w:proofErr w:type="spellEnd"/>
                <w:r w:rsidRPr="00431099">
                  <w:rPr>
                    <w:sz w:val="20"/>
                    <w:szCs w:val="20"/>
                  </w:rPr>
                  <w:t xml:space="preserve"> for temperature fields?</w:t>
                </w:r>
              </w:p>
              <w:p w:rsidR="00431099" w:rsidRPr="00431099" w:rsidRDefault="00431099" w:rsidP="00431099">
                <w:pPr>
                  <w:rPr>
                    <w:sz w:val="20"/>
                    <w:szCs w:val="20"/>
                  </w:rPr>
                </w:pPr>
              </w:p>
              <w:p w:rsidR="00431099" w:rsidRPr="00431099" w:rsidRDefault="00431099" w:rsidP="00431099">
                <w:pPr>
                  <w:rPr>
                    <w:sz w:val="20"/>
                    <w:szCs w:val="20"/>
                  </w:rPr>
                </w:pPr>
                <w:r w:rsidRPr="00431099">
                  <w:rPr>
                    <w:sz w:val="20"/>
                    <w:szCs w:val="20"/>
                  </w:rPr>
                  <w:t>I find the required measurement uncertainty of 0.1 K over 100 km scale to be rather too severe to be classed as threshold -- clearly products have been used for many climate uses despite none of them meeting this "threshold". I agree it is desirable for open ocean, but suggest this value is rather a breakthrough level of requirement.</w:t>
                </w:r>
              </w:p>
              <w:p w:rsidR="00431099" w:rsidRPr="00431099" w:rsidRDefault="00431099" w:rsidP="00431099">
                <w:pPr>
                  <w:rPr>
                    <w:sz w:val="20"/>
                    <w:szCs w:val="20"/>
                  </w:rPr>
                </w:pPr>
              </w:p>
              <w:p w:rsidR="00431099" w:rsidRPr="00431099" w:rsidRDefault="00431099" w:rsidP="00431099">
                <w:pPr>
                  <w:rPr>
                    <w:sz w:val="20"/>
                    <w:szCs w:val="20"/>
                  </w:rPr>
                </w:pPr>
                <w:r w:rsidRPr="00431099">
                  <w:rPr>
                    <w:sz w:val="20"/>
                    <w:szCs w:val="20"/>
                  </w:rPr>
                  <w:t>There is a survey on climate user requirements for SST available here:</w:t>
                </w:r>
              </w:p>
              <w:p w:rsidR="00431099" w:rsidRPr="00431099" w:rsidRDefault="00431099" w:rsidP="00431099">
                <w:pPr>
                  <w:rPr>
                    <w:sz w:val="20"/>
                    <w:szCs w:val="20"/>
                  </w:rPr>
                </w:pPr>
                <w:r w:rsidRPr="00431099">
                  <w:rPr>
                    <w:sz w:val="20"/>
                    <w:szCs w:val="20"/>
                  </w:rPr>
                  <w:t>http://www.esa-sst-cci.org/PUG/pdf/SST_CCI-URD-UKMO-201-Issue_2.1-signed.pdf</w:t>
                </w:r>
              </w:p>
              <w:p w:rsidR="00431099" w:rsidRPr="00431099" w:rsidRDefault="00431099" w:rsidP="00431099">
                <w:pPr>
                  <w:rPr>
                    <w:sz w:val="20"/>
                    <w:szCs w:val="20"/>
                  </w:rPr>
                </w:pPr>
              </w:p>
              <w:p w:rsidR="00431099" w:rsidRPr="00431099" w:rsidRDefault="00431099" w:rsidP="00431099">
                <w:pPr>
                  <w:rPr>
                    <w:sz w:val="20"/>
                    <w:szCs w:val="20"/>
                  </w:rPr>
                </w:pPr>
                <w:r w:rsidRPr="00431099">
                  <w:rPr>
                    <w:sz w:val="20"/>
                    <w:szCs w:val="20"/>
                  </w:rPr>
                  <w:t>thanks for considering these comments</w:t>
                </w:r>
              </w:p>
              <w:p w:rsidR="009029F2" w:rsidRPr="009029F2" w:rsidRDefault="00431099" w:rsidP="00431099">
                <w:pPr>
                  <w:rPr>
                    <w:sz w:val="20"/>
                    <w:szCs w:val="20"/>
                  </w:rPr>
                </w:pPr>
                <w:r w:rsidRPr="00431099">
                  <w:rPr>
                    <w:sz w:val="20"/>
                    <w:szCs w:val="20"/>
                  </w:rPr>
                  <w:t>Chris Merchant</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431099">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431099">
                  <w:rPr>
                    <w:sz w:val="20"/>
                    <w:szCs w:val="20"/>
                  </w:rPr>
                  <w:t>ECMWF</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431099" w:rsidRPr="00431099">
                  <w:rPr>
                    <w:sz w:val="20"/>
                    <w:szCs w:val="20"/>
                  </w:rPr>
                  <w:t>ecresgcosreqs@gmail.com</w:t>
                </w:r>
              </w:sdtContent>
            </w:sdt>
          </w:p>
        </w:tc>
      </w:tr>
      <w:tr w:rsidR="00345D91" w:rsidTr="0051264A">
        <w:tc>
          <w:tcPr>
            <w:tcW w:w="5000" w:type="pct"/>
            <w:gridSpan w:val="2"/>
          </w:tcPr>
          <w:sdt>
            <w:sdtPr>
              <w:rPr>
                <w:sz w:val="20"/>
                <w:szCs w:val="20"/>
              </w:rPr>
              <w:id w:val="1884671643"/>
              <w:placeholder>
                <w:docPart w:val="E56385914738445486E36D662855BE87"/>
              </w:placeholder>
            </w:sdtPr>
            <w:sdtEndPr/>
            <w:sdtContent>
              <w:p w:rsidR="00431099" w:rsidRPr="00431099" w:rsidRDefault="00431099" w:rsidP="00431099">
                <w:pPr>
                  <w:rPr>
                    <w:sz w:val="20"/>
                    <w:szCs w:val="20"/>
                  </w:rPr>
                </w:pPr>
                <w:r w:rsidRPr="00431099">
                  <w:rPr>
                    <w:sz w:val="20"/>
                    <w:szCs w:val="20"/>
                  </w:rPr>
                  <w:t xml:space="preserve">For reanalysis and NWP requirements at ECMWF, the goal for horizontal resolution is  more in the order of 5km. </w:t>
                </w:r>
              </w:p>
              <w:p w:rsidR="00431099" w:rsidRPr="00431099" w:rsidRDefault="00431099" w:rsidP="00431099">
                <w:pPr>
                  <w:rPr>
                    <w:sz w:val="20"/>
                    <w:szCs w:val="20"/>
                  </w:rPr>
                </w:pPr>
                <w:r w:rsidRPr="00431099">
                  <w:rPr>
                    <w:sz w:val="20"/>
                    <w:szCs w:val="20"/>
                  </w:rPr>
                  <w:t xml:space="preserve">Temporal resolution: goal hourly, threshold daily/weekly for NWP/reanalysis. </w:t>
                </w:r>
              </w:p>
              <w:p w:rsidR="00431099" w:rsidRPr="00431099" w:rsidRDefault="00431099" w:rsidP="00431099">
                <w:pPr>
                  <w:rPr>
                    <w:sz w:val="20"/>
                    <w:szCs w:val="20"/>
                  </w:rPr>
                </w:pPr>
                <w:r w:rsidRPr="00431099">
                  <w:rPr>
                    <w:sz w:val="20"/>
                    <w:szCs w:val="20"/>
                  </w:rPr>
                  <w:t xml:space="preserve">Timeliness goal is 3 hours, threshold 24 hours. </w:t>
                </w:r>
              </w:p>
              <w:p w:rsidR="00431099" w:rsidRPr="00431099" w:rsidRDefault="00431099" w:rsidP="00431099">
                <w:pPr>
                  <w:rPr>
                    <w:sz w:val="20"/>
                    <w:szCs w:val="20"/>
                  </w:rPr>
                </w:pPr>
                <w:r w:rsidRPr="00431099">
                  <w:rPr>
                    <w:sz w:val="20"/>
                    <w:szCs w:val="20"/>
                  </w:rPr>
                  <w:t xml:space="preserve">We agree with Chris Merchant that the uncertainty threshold of 0.1 K is too severe. For our purpose a threshold of 0.3K would be o.k., with a goal of 0.05 K. </w:t>
                </w:r>
              </w:p>
              <w:p w:rsidR="00345D91" w:rsidRPr="009029F2" w:rsidRDefault="00431099" w:rsidP="00431099">
                <w:pPr>
                  <w:rPr>
                    <w:sz w:val="20"/>
                    <w:szCs w:val="20"/>
                  </w:rPr>
                </w:pPr>
                <w:r w:rsidRPr="00431099">
                  <w:rPr>
                    <w:sz w:val="20"/>
                    <w:szCs w:val="20"/>
                  </w:rPr>
                  <w:t>Products should be able to quantify the observed change of ~0.18K/decade to at least 10%, i.e. a goal of 0.01-0.02 K/decade.</w:t>
                </w:r>
              </w:p>
            </w:sdtContent>
          </w:sdt>
        </w:tc>
      </w:tr>
    </w:tbl>
    <w:p w:rsidR="00431099" w:rsidRDefault="00431099" w:rsidP="00431099">
      <w:pPr>
        <w:pStyle w:val="WMOBodyText"/>
      </w:pPr>
    </w:p>
    <w:p w:rsidR="00431099" w:rsidRDefault="00431099" w:rsidP="00431099">
      <w:pPr>
        <w:pStyle w:val="WMOBodyText"/>
      </w:pPr>
    </w:p>
    <w:p w:rsidR="00431099" w:rsidRPr="00431099" w:rsidRDefault="00431099" w:rsidP="00431099">
      <w:pPr>
        <w:pStyle w:val="WMOBodyText"/>
      </w:pPr>
    </w:p>
    <w:p w:rsidR="00215C42" w:rsidRDefault="00215C42" w:rsidP="000768AB">
      <w:pPr>
        <w:pStyle w:val="Heading3"/>
      </w:pPr>
      <w:r w:rsidRPr="009029F2">
        <w:lastRenderedPageBreak/>
        <w:t xml:space="preserve">Comment </w:t>
      </w:r>
      <w:r>
        <w:t>3</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431099">
            <w:pPr>
              <w:rPr>
                <w:sz w:val="20"/>
                <w:szCs w:val="20"/>
              </w:rPr>
            </w:pPr>
            <w:r w:rsidRPr="009029F2">
              <w:rPr>
                <w:sz w:val="20"/>
                <w:szCs w:val="20"/>
              </w:rPr>
              <w:t>Author</w:t>
            </w:r>
            <w:r>
              <w:rPr>
                <w:sz w:val="20"/>
                <w:szCs w:val="20"/>
              </w:rPr>
              <w:t xml:space="preserve">: </w:t>
            </w:r>
            <w:sdt>
              <w:sdtPr>
                <w:rPr>
                  <w:sz w:val="20"/>
                  <w:szCs w:val="20"/>
                </w:rPr>
                <w:id w:val="1218860302"/>
                <w:placeholder>
                  <w:docPart w:val="B9FBBCE713B44504B17CD23607EB6C1A"/>
                </w:placeholder>
              </w:sdtPr>
              <w:sdtEndPr/>
              <w:sdtContent>
                <w:r w:rsidR="00431099">
                  <w:rPr>
                    <w:sz w:val="20"/>
                    <w:szCs w:val="20"/>
                  </w:rPr>
                  <w:t>David Berry (NOC)</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06159618"/>
                <w:placeholder>
                  <w:docPart w:val="4740CC741FA44F42B7A23DC0F9CDDD6D"/>
                </w:placeholder>
              </w:sdtPr>
              <w:sdtEndPr/>
              <w:sdtContent>
                <w:r w:rsidR="00431099" w:rsidRPr="00431099">
                  <w:rPr>
                    <w:sz w:val="20"/>
                    <w:szCs w:val="20"/>
                  </w:rPr>
                  <w:t>david.inglis.berry@googlemail.com</w:t>
                </w:r>
              </w:sdtContent>
            </w:sdt>
          </w:p>
        </w:tc>
      </w:tr>
      <w:tr w:rsidR="00F07CBB" w:rsidTr="009F4509">
        <w:tc>
          <w:tcPr>
            <w:tcW w:w="5000" w:type="pct"/>
            <w:gridSpan w:val="2"/>
          </w:tcPr>
          <w:sdt>
            <w:sdtPr>
              <w:rPr>
                <w:sz w:val="20"/>
                <w:szCs w:val="20"/>
              </w:rPr>
              <w:id w:val="-1260912871"/>
              <w:placeholder>
                <w:docPart w:val="DD6D779C939542179E053882FFE803B3"/>
              </w:placeholder>
            </w:sdtPr>
            <w:sdtEndPr/>
            <w:sdtContent>
              <w:p w:rsidR="00431099" w:rsidRPr="00431099" w:rsidRDefault="00431099" w:rsidP="00431099">
                <w:pPr>
                  <w:rPr>
                    <w:sz w:val="20"/>
                    <w:szCs w:val="20"/>
                  </w:rPr>
                </w:pPr>
                <w:r w:rsidRPr="00431099">
                  <w:rPr>
                    <w:sz w:val="20"/>
                    <w:szCs w:val="20"/>
                  </w:rPr>
                  <w:t>It is unclear where the above requirements have come from for the threshold level. For example, the climate monitoring products, such as those produced by NOAA and the UK Met Office, would suggest a coarser resolution for the threshold level.</w:t>
                </w:r>
              </w:p>
              <w:p w:rsidR="00431099" w:rsidRPr="00431099" w:rsidRDefault="00431099" w:rsidP="00431099">
                <w:pPr>
                  <w:rPr>
                    <w:sz w:val="20"/>
                    <w:szCs w:val="20"/>
                  </w:rPr>
                </w:pPr>
              </w:p>
              <w:p w:rsidR="00F07CBB" w:rsidRPr="009029F2" w:rsidRDefault="00431099" w:rsidP="00431099">
                <w:pPr>
                  <w:rPr>
                    <w:sz w:val="20"/>
                    <w:szCs w:val="20"/>
                  </w:rPr>
                </w:pPr>
                <w:r w:rsidRPr="00431099">
                  <w:rPr>
                    <w:sz w:val="20"/>
                    <w:szCs w:val="20"/>
                  </w:rPr>
                  <w:t>I have also made some comments under the near surface air temperature entry, the majority of those comments are also applicable here.</w:t>
                </w:r>
              </w:p>
            </w:sdtContent>
          </w:sdt>
        </w:tc>
      </w:tr>
    </w:tbl>
    <w:p w:rsidR="00F07CBB" w:rsidRDefault="00F07CBB" w:rsidP="00431099">
      <w:pPr>
        <w:pStyle w:val="WMOBodyText"/>
      </w:pPr>
      <w:bookmarkStart w:id="1" w:name="_GoBack"/>
      <w:bookmarkEnd w:id="1"/>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376" w:rsidRDefault="00D07376" w:rsidP="00AC5144">
      <w:pPr>
        <w:spacing w:after="0" w:line="240" w:lineRule="auto"/>
      </w:pPr>
      <w:r>
        <w:separator/>
      </w:r>
    </w:p>
  </w:endnote>
  <w:endnote w:type="continuationSeparator" w:id="0">
    <w:p w:rsidR="00D07376" w:rsidRDefault="00D07376"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376" w:rsidRDefault="00D07376" w:rsidP="00AC5144">
      <w:pPr>
        <w:spacing w:after="0" w:line="240" w:lineRule="auto"/>
      </w:pPr>
      <w:r>
        <w:separator/>
      </w:r>
    </w:p>
  </w:footnote>
  <w:footnote w:type="continuationSeparator" w:id="0">
    <w:p w:rsidR="00D07376" w:rsidRDefault="00D07376"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431099"/>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D01527"/>
    <w:rsid w:val="00D03D71"/>
    <w:rsid w:val="00D07376"/>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678175">
      <w:bodyDiv w:val="1"/>
      <w:marLeft w:val="0"/>
      <w:marRight w:val="0"/>
      <w:marTop w:val="0"/>
      <w:marBottom w:val="0"/>
      <w:divBdr>
        <w:top w:val="none" w:sz="0" w:space="0" w:color="auto"/>
        <w:left w:val="none" w:sz="0" w:space="0" w:color="auto"/>
        <w:bottom w:val="none" w:sz="0" w:space="0" w:color="auto"/>
        <w:right w:val="none" w:sz="0" w:space="0" w:color="auto"/>
      </w:divBdr>
      <w:divsChild>
        <w:div w:id="694039283">
          <w:marLeft w:val="660"/>
          <w:marRight w:val="0"/>
          <w:marTop w:val="0"/>
          <w:marBottom w:val="0"/>
          <w:divBdr>
            <w:top w:val="none" w:sz="0" w:space="0" w:color="auto"/>
            <w:left w:val="none" w:sz="0" w:space="0" w:color="auto"/>
            <w:bottom w:val="none" w:sz="0" w:space="0" w:color="auto"/>
            <w:right w:val="none" w:sz="0" w:space="0" w:color="auto"/>
          </w:divBdr>
          <w:divsChild>
            <w:div w:id="1307203501">
              <w:marLeft w:val="0"/>
              <w:marRight w:val="0"/>
              <w:marTop w:val="0"/>
              <w:marBottom w:val="0"/>
              <w:divBdr>
                <w:top w:val="none" w:sz="0" w:space="0" w:color="auto"/>
                <w:left w:val="none" w:sz="0" w:space="0" w:color="auto"/>
                <w:bottom w:val="none" w:sz="0" w:space="0" w:color="auto"/>
                <w:right w:val="none" w:sz="0" w:space="0" w:color="auto"/>
              </w:divBdr>
              <w:divsChild>
                <w:div w:id="1601178043">
                  <w:marLeft w:val="0"/>
                  <w:marRight w:val="0"/>
                  <w:marTop w:val="0"/>
                  <w:marBottom w:val="0"/>
                  <w:divBdr>
                    <w:top w:val="none" w:sz="0" w:space="0" w:color="auto"/>
                    <w:left w:val="none" w:sz="0" w:space="0" w:color="auto"/>
                    <w:bottom w:val="none" w:sz="0" w:space="0" w:color="auto"/>
                    <w:right w:val="none" w:sz="0" w:space="0" w:color="auto"/>
                  </w:divBdr>
                  <w:divsChild>
                    <w:div w:id="677511754">
                      <w:marLeft w:val="0"/>
                      <w:marRight w:val="0"/>
                      <w:marTop w:val="0"/>
                      <w:marBottom w:val="0"/>
                      <w:divBdr>
                        <w:top w:val="none" w:sz="0" w:space="0" w:color="auto"/>
                        <w:left w:val="none" w:sz="0" w:space="0" w:color="auto"/>
                        <w:bottom w:val="none" w:sz="0" w:space="0" w:color="auto"/>
                        <w:right w:val="none" w:sz="0" w:space="0" w:color="auto"/>
                      </w:divBdr>
                      <w:divsChild>
                        <w:div w:id="1571385143">
                          <w:marLeft w:val="0"/>
                          <w:marRight w:val="0"/>
                          <w:marTop w:val="0"/>
                          <w:marBottom w:val="0"/>
                          <w:divBdr>
                            <w:top w:val="none" w:sz="0" w:space="0" w:color="auto"/>
                            <w:left w:val="none" w:sz="0" w:space="0" w:color="auto"/>
                            <w:bottom w:val="none" w:sz="0" w:space="0" w:color="auto"/>
                            <w:right w:val="none" w:sz="0" w:space="0" w:color="auto"/>
                          </w:divBdr>
                          <w:divsChild>
                            <w:div w:id="1402094305">
                              <w:marLeft w:val="0"/>
                              <w:marRight w:val="0"/>
                              <w:marTop w:val="0"/>
                              <w:marBottom w:val="0"/>
                              <w:divBdr>
                                <w:top w:val="none" w:sz="0" w:space="0" w:color="auto"/>
                                <w:left w:val="none" w:sz="0" w:space="0" w:color="auto"/>
                                <w:bottom w:val="none" w:sz="0" w:space="0" w:color="auto"/>
                                <w:right w:val="none" w:sz="0" w:space="0" w:color="auto"/>
                              </w:divBdr>
                              <w:divsChild>
                                <w:div w:id="1392998597">
                                  <w:marLeft w:val="0"/>
                                  <w:marRight w:val="0"/>
                                  <w:marTop w:val="0"/>
                                  <w:marBottom w:val="0"/>
                                  <w:divBdr>
                                    <w:top w:val="none" w:sz="0" w:space="0" w:color="auto"/>
                                    <w:left w:val="none" w:sz="0" w:space="0" w:color="auto"/>
                                    <w:bottom w:val="none" w:sz="0" w:space="0" w:color="auto"/>
                                    <w:right w:val="none" w:sz="0" w:space="0" w:color="auto"/>
                                  </w:divBdr>
                                  <w:divsChild>
                                    <w:div w:id="1894467153">
                                      <w:marLeft w:val="0"/>
                                      <w:marRight w:val="0"/>
                                      <w:marTop w:val="0"/>
                                      <w:marBottom w:val="0"/>
                                      <w:divBdr>
                                        <w:top w:val="none" w:sz="0" w:space="0" w:color="auto"/>
                                        <w:left w:val="none" w:sz="0" w:space="0" w:color="auto"/>
                                        <w:bottom w:val="none" w:sz="0" w:space="0" w:color="auto"/>
                                        <w:right w:val="none" w:sz="0" w:space="0" w:color="auto"/>
                                      </w:divBdr>
                                    </w:div>
                                    <w:div w:id="734857797">
                                      <w:marLeft w:val="0"/>
                                      <w:marRight w:val="0"/>
                                      <w:marTop w:val="0"/>
                                      <w:marBottom w:val="0"/>
                                      <w:divBdr>
                                        <w:top w:val="none" w:sz="0" w:space="0" w:color="auto"/>
                                        <w:left w:val="none" w:sz="0" w:space="0" w:color="auto"/>
                                        <w:bottom w:val="none" w:sz="0" w:space="0" w:color="auto"/>
                                        <w:right w:val="none" w:sz="0" w:space="0" w:color="auto"/>
                                      </w:divBdr>
                                    </w:div>
                                    <w:div w:id="193261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iny.cc/ecv-review"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journals.ametsoc.org/doi/full/10.1175/JCLI-D-16-0396.1"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gupubs.onlinelibrary.wiley.com/doi/full/10.1002/rog.20022"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oceanobs09.net/proceedings/cwp/Palmer-OceanObs09.cwp.68.pdf"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s://journals.ametsoc.org/doi/full/10.1175/JTECH-D-15-0139.1"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B9FBBCE713B44504B17CD23607EB6C1A"/>
        <w:category>
          <w:name w:val="General"/>
          <w:gallery w:val="placeholder"/>
        </w:category>
        <w:types>
          <w:type w:val="bbPlcHdr"/>
        </w:types>
        <w:behaviors>
          <w:behavior w:val="content"/>
        </w:behaviors>
        <w:guid w:val="{F942A500-E4C2-4408-81E4-FA7DED41E6CA}"/>
      </w:docPartPr>
      <w:docPartBody>
        <w:p w:rsidR="00C43782" w:rsidRDefault="00DA79DD" w:rsidP="00DA79DD">
          <w:pPr>
            <w:pStyle w:val="B9FBBCE713B44504B17CD23607EB6C1A"/>
          </w:pPr>
          <w:r w:rsidRPr="00697ACC">
            <w:rPr>
              <w:rStyle w:val="PlaceholderText"/>
            </w:rPr>
            <w:t>Click here to enter text.</w:t>
          </w:r>
        </w:p>
      </w:docPartBody>
    </w:docPart>
    <w:docPart>
      <w:docPartPr>
        <w:name w:val="4740CC741FA44F42B7A23DC0F9CDDD6D"/>
        <w:category>
          <w:name w:val="General"/>
          <w:gallery w:val="placeholder"/>
        </w:category>
        <w:types>
          <w:type w:val="bbPlcHdr"/>
        </w:types>
        <w:behaviors>
          <w:behavior w:val="content"/>
        </w:behaviors>
        <w:guid w:val="{A8042181-690E-4DE4-A2F9-75DE2A118689}"/>
      </w:docPartPr>
      <w:docPartBody>
        <w:p w:rsidR="00C43782" w:rsidRDefault="00DA79DD" w:rsidP="00DA79DD">
          <w:pPr>
            <w:pStyle w:val="4740CC741FA44F42B7A23DC0F9CDDD6D"/>
          </w:pPr>
          <w:r w:rsidRPr="00697ACC">
            <w:rPr>
              <w:rStyle w:val="PlaceholderText"/>
            </w:rPr>
            <w:t>Click here to enter text.</w:t>
          </w:r>
        </w:p>
      </w:docPartBody>
    </w:docPart>
    <w:docPart>
      <w:docPartPr>
        <w:name w:val="DD6D779C939542179E053882FFE803B3"/>
        <w:category>
          <w:name w:val="General"/>
          <w:gallery w:val="placeholder"/>
        </w:category>
        <w:types>
          <w:type w:val="bbPlcHdr"/>
        </w:types>
        <w:behaviors>
          <w:behavior w:val="content"/>
        </w:behaviors>
        <w:guid w:val="{B0F0D9E8-ECCB-4202-9614-3F55C3A29E57}"/>
      </w:docPartPr>
      <w:docPartBody>
        <w:p w:rsidR="00C43782" w:rsidRDefault="00DA79DD" w:rsidP="00DA79DD">
          <w:pPr>
            <w:pStyle w:val="DD6D779C939542179E053882FFE803B3"/>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4670C9"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4670C9"/>
    <w:rsid w:val="006025E7"/>
    <w:rsid w:val="00803F39"/>
    <w:rsid w:val="008F5731"/>
    <w:rsid w:val="00993C0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B57416-115F-436E-8480-38EBF5D98B81}">
  <ds:schemaRefs>
    <ds:schemaRef ds:uri="http://schemas.openxmlformats.org/officeDocument/2006/bibliography"/>
  </ds:schemaRefs>
</ds:datastoreItem>
</file>

<file path=customXml/itemProps2.xml><?xml version="1.0" encoding="utf-8"?>
<ds:datastoreItem xmlns:ds="http://schemas.openxmlformats.org/officeDocument/2006/customXml" ds:itemID="{94AD4249-09F0-4B16-901A-6314FC256436}"/>
</file>

<file path=customXml/itemProps3.xml><?xml version="1.0" encoding="utf-8"?>
<ds:datastoreItem xmlns:ds="http://schemas.openxmlformats.org/officeDocument/2006/customXml" ds:itemID="{BF7884D9-D170-4A9A-9F43-04930313B0CB}"/>
</file>

<file path=customXml/itemProps4.xml><?xml version="1.0" encoding="utf-8"?>
<ds:datastoreItem xmlns:ds="http://schemas.openxmlformats.org/officeDocument/2006/customXml" ds:itemID="{B233EC4E-98E7-4391-8228-57EF6C96AFD9}"/>
</file>

<file path=docProps/app.xml><?xml version="1.0" encoding="utf-8"?>
<Properties xmlns="http://schemas.openxmlformats.org/officeDocument/2006/extended-properties" xmlns:vt="http://schemas.openxmlformats.org/officeDocument/2006/docPropsVTypes">
  <Template>Normal.dotm</Template>
  <TotalTime>3</TotalTime>
  <Pages>3</Pages>
  <Words>790</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2020-03-25T16:32:00Z</dcterms:created>
  <dcterms:modified xsi:type="dcterms:W3CDTF">2020-03-25T16:35:00Z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