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2B582A" w:rsidP="000768AB">
      <w:pPr>
        <w:pStyle w:val="Heading1"/>
      </w:pPr>
      <w:r>
        <w:t>Leaf A</w:t>
      </w:r>
      <w:r w:rsidRPr="002B582A">
        <w:t>re</w:t>
      </w:r>
      <w:r>
        <w:t>a</w:t>
      </w:r>
      <w:r w:rsidRPr="002B582A">
        <w:t xml:space="preserve"> </w:t>
      </w:r>
      <w:r>
        <w:t>I</w:t>
      </w:r>
      <w:r w:rsidRPr="002B582A">
        <w:t>ndex</w:t>
      </w:r>
    </w:p>
    <w:p w:rsidR="009029F2" w:rsidRDefault="000251F0" w:rsidP="00B53A9D">
      <w:pPr>
        <w:pStyle w:val="Heading2"/>
      </w:pPr>
      <w:r w:rsidRPr="009029F2">
        <w:t xml:space="preserve">ECV Product: </w:t>
      </w:r>
      <w:sdt>
        <w:sdtPr>
          <w:id w:val="134147333"/>
          <w:placeholder>
            <w:docPart w:val="DefaultPlaceholder_1082065158"/>
          </w:placeholder>
        </w:sdtPr>
        <w:sdtEndPr/>
        <w:sdtContent>
          <w:r w:rsidR="002B582A">
            <w:t>Leaf Area Index</w:t>
          </w:r>
        </w:sdtContent>
      </w:sdt>
    </w:p>
    <w:tbl>
      <w:tblPr>
        <w:tblW w:w="5000" w:type="pct"/>
        <w:shd w:val="clear" w:color="auto" w:fill="FFFFFF"/>
        <w:tblCellMar>
          <w:left w:w="0" w:type="dxa"/>
          <w:right w:w="0" w:type="dxa"/>
        </w:tblCellMar>
        <w:tblLook w:val="04A0" w:firstRow="1" w:lastRow="0" w:firstColumn="1" w:lastColumn="0" w:noHBand="0" w:noVBand="1"/>
      </w:tblPr>
      <w:tblGrid>
        <w:gridCol w:w="1071"/>
        <w:gridCol w:w="803"/>
        <w:gridCol w:w="1002"/>
        <w:gridCol w:w="385"/>
        <w:gridCol w:w="650"/>
        <w:gridCol w:w="7105"/>
      </w:tblGrid>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Name</w:t>
            </w:r>
          </w:p>
        </w:tc>
        <w:tc>
          <w:tcPr>
            <w:tcW w:w="451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Leaf Area Index</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Definition</w:t>
            </w:r>
          </w:p>
        </w:tc>
        <w:tc>
          <w:tcPr>
            <w:tcW w:w="451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Effective Leaf Area Index;</w:t>
            </w:r>
          </w:p>
          <w:p w:rsidR="002B582A" w:rsidRDefault="002B582A">
            <w:pPr>
              <w:rPr>
                <w:color w:val="222222"/>
                <w:sz w:val="24"/>
                <w:szCs w:val="24"/>
              </w:rPr>
            </w:pPr>
            <w:r>
              <w:rPr>
                <w:color w:val="222222"/>
                <w:sz w:val="16"/>
                <w:szCs w:val="16"/>
                <w:bdr w:val="none" w:sz="0" w:space="0" w:color="auto" w:frame="1"/>
              </w:rPr>
              <w:t>True Leaf  Area  Index  (LAI)  of  a  plant  canopy  or  ecosystem is  defined  as  one  half  of  the  total  green  leaf  area  per  unit  horizontal  ground  surface  area and  measures  the  area  of  leaf  material  present  in  the  specified  environment. (Projection to the underlying ground along the normal to the slope).</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Unit</w:t>
            </w:r>
          </w:p>
        </w:tc>
        <w:tc>
          <w:tcPr>
            <w:tcW w:w="451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m</w:t>
            </w:r>
            <w:r>
              <w:rPr>
                <w:color w:val="222222"/>
                <w:sz w:val="16"/>
                <w:szCs w:val="16"/>
                <w:bdr w:val="none" w:sz="0" w:space="0" w:color="auto" w:frame="1"/>
                <w:vertAlign w:val="superscript"/>
              </w:rPr>
              <w:t>2</w:t>
            </w:r>
            <w:r>
              <w:rPr>
                <w:color w:val="222222"/>
                <w:sz w:val="16"/>
                <w:szCs w:val="16"/>
                <w:bdr w:val="none" w:sz="0" w:space="0" w:color="auto" w:frame="1"/>
              </w:rPr>
              <w:t>/m</w:t>
            </w:r>
            <w:r>
              <w:rPr>
                <w:color w:val="222222"/>
                <w:sz w:val="16"/>
                <w:szCs w:val="16"/>
                <w:bdr w:val="none" w:sz="0" w:space="0" w:color="auto" w:frame="1"/>
                <w:vertAlign w:val="superscript"/>
              </w:rPr>
              <w:t>2</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Note</w:t>
            </w:r>
          </w:p>
        </w:tc>
        <w:tc>
          <w:tcPr>
            <w:tcW w:w="451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The  conversion  of  data  measurements to true values is an essential step and requires additional information about the structure  and  architecture  of  the  canopy,  e.g.  gap  size  distributions,  at  the  appropriate  spatial  resolutions.</w:t>
            </w:r>
          </w:p>
          <w:p w:rsidR="002B582A" w:rsidRDefault="002B582A">
            <w:pPr>
              <w:rPr>
                <w:color w:val="222222"/>
                <w:sz w:val="24"/>
                <w:szCs w:val="24"/>
              </w:rPr>
            </w:pPr>
            <w:r>
              <w:rPr>
                <w:color w:val="222222"/>
                <w:sz w:val="16"/>
                <w:szCs w:val="16"/>
                <w:bdr w:val="none" w:sz="0" w:space="0" w:color="auto" w:frame="1"/>
              </w:rPr>
              <w:t>LENGTH OF RECORD: Threshold: 20 years; Target: &gt;40 years</w:t>
            </w:r>
          </w:p>
        </w:tc>
      </w:tr>
      <w:tr w:rsidR="002B582A" w:rsidTr="002B582A">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jc w:val="center"/>
              <w:rPr>
                <w:color w:val="222222"/>
                <w:sz w:val="24"/>
                <w:szCs w:val="24"/>
              </w:rPr>
            </w:pPr>
            <w:r>
              <w:rPr>
                <w:b/>
                <w:bCs/>
                <w:color w:val="FFFFFF"/>
                <w:sz w:val="16"/>
                <w:szCs w:val="16"/>
                <w:bdr w:val="none" w:sz="0" w:space="0" w:color="auto" w:frame="1"/>
              </w:rPr>
              <w:t>Requirements</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jc w:val="center"/>
              <w:rPr>
                <w:color w:val="222222"/>
                <w:sz w:val="24"/>
                <w:szCs w:val="24"/>
              </w:rPr>
            </w:pPr>
            <w:r>
              <w:rPr>
                <w:b/>
                <w:bCs/>
                <w:color w:val="FFFFFF"/>
                <w:sz w:val="16"/>
                <w:szCs w:val="16"/>
                <w:bdr w:val="none" w:sz="0" w:space="0" w:color="auto" w:frame="1"/>
              </w:rPr>
              <w:t>Item needed</w:t>
            </w:r>
          </w:p>
        </w:tc>
        <w:tc>
          <w:tcPr>
            <w:tcW w:w="36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b/>
                <w:bCs/>
                <w:color w:val="222222"/>
                <w:sz w:val="16"/>
                <w:szCs w:val="16"/>
                <w:bdr w:val="none" w:sz="0" w:space="0" w:color="auto" w:frame="1"/>
              </w:rPr>
              <w:t>Unit</w:t>
            </w:r>
          </w:p>
        </w:tc>
        <w:tc>
          <w:tcPr>
            <w:tcW w:w="45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b/>
                <w:bCs/>
                <w:color w:val="222222"/>
                <w:sz w:val="16"/>
                <w:szCs w:val="16"/>
                <w:bdr w:val="none" w:sz="0" w:space="0" w:color="auto" w:frame="1"/>
              </w:rPr>
              <w:t>Metric</w:t>
            </w:r>
          </w:p>
        </w:tc>
        <w:tc>
          <w:tcPr>
            <w:tcW w:w="17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rFonts w:ascii="Calibri" w:hAnsi="Calibri"/>
                <w:b/>
                <w:bCs/>
                <w:color w:val="1155CC"/>
                <w:sz w:val="16"/>
                <w:szCs w:val="16"/>
                <w:bdr w:val="none" w:sz="0" w:space="0" w:color="auto" w:frame="1"/>
              </w:rPr>
              <w:t>[1]</w:t>
            </w:r>
          </w:p>
        </w:tc>
        <w:tc>
          <w:tcPr>
            <w:tcW w:w="29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b/>
                <w:bCs/>
                <w:color w:val="222222"/>
                <w:sz w:val="16"/>
                <w:szCs w:val="16"/>
                <w:bdr w:val="none" w:sz="0" w:space="0" w:color="auto" w:frame="1"/>
              </w:rPr>
              <w:t>Value</w:t>
            </w:r>
          </w:p>
        </w:tc>
        <w:tc>
          <w:tcPr>
            <w:tcW w:w="322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b/>
                <w:bCs/>
                <w:color w:val="222222"/>
                <w:sz w:val="16"/>
                <w:szCs w:val="16"/>
                <w:bdr w:val="none" w:sz="0" w:space="0" w:color="auto" w:frame="1"/>
              </w:rPr>
              <w:t>Derivation and References and Standards</w:t>
            </w:r>
          </w:p>
        </w:tc>
      </w:tr>
      <w:tr w:rsidR="002B582A" w:rsidTr="002B582A">
        <w:tc>
          <w:tcPr>
            <w:tcW w:w="48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Horizontal Resolution</w:t>
            </w:r>
          </w:p>
        </w:tc>
        <w:tc>
          <w:tcPr>
            <w:tcW w:w="36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m</w:t>
            </w:r>
          </w:p>
        </w:tc>
        <w:tc>
          <w:tcPr>
            <w:tcW w:w="45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 </w:t>
            </w: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G</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10</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Leaf Area Index  controls  important  mass and energy exchange processes, such as radiation and rain  interception,  as  well  as  photosynthesis  and  respiration,  which  couple  vegetation  to  the  climate  system.  </w:t>
            </w:r>
          </w:p>
          <w:p w:rsidR="002B582A" w:rsidRDefault="002B582A">
            <w:pPr>
              <w:rPr>
                <w:color w:val="222222"/>
              </w:rPr>
            </w:pPr>
            <w:r>
              <w:rPr>
                <w:color w:val="222222"/>
                <w:sz w:val="16"/>
                <w:szCs w:val="16"/>
                <w:bdr w:val="none" w:sz="0" w:space="0" w:color="auto" w:frame="1"/>
              </w:rPr>
              <w:t>Application at 10 m: Climate Adaptation, Agricultural monitoring</w:t>
            </w:r>
          </w:p>
          <w:p w:rsidR="002B582A" w:rsidRDefault="002B582A">
            <w:pPr>
              <w:rPr>
                <w:color w:val="222222"/>
              </w:rPr>
            </w:pPr>
            <w:r>
              <w:rPr>
                <w:color w:val="222222"/>
                <w:sz w:val="16"/>
                <w:szCs w:val="16"/>
                <w:bdr w:val="none" w:sz="0" w:space="0" w:color="auto" w:frame="1"/>
              </w:rPr>
              <w:t>Best practices published here:</w:t>
            </w:r>
          </w:p>
          <w:p w:rsidR="002B582A" w:rsidRDefault="002B582A">
            <w:pPr>
              <w:rPr>
                <w:color w:val="222222"/>
                <w:sz w:val="24"/>
                <w:szCs w:val="24"/>
              </w:rPr>
            </w:pPr>
            <w:hyperlink r:id="rId9" w:tgtFrame="_blank" w:history="1">
              <w:r>
                <w:rPr>
                  <w:rStyle w:val="Hyperlink"/>
                  <w:color w:val="6611CC"/>
                  <w:sz w:val="16"/>
                  <w:szCs w:val="16"/>
                  <w:bdr w:val="none" w:sz="0" w:space="0" w:color="auto" w:frame="1"/>
                </w:rPr>
                <w:t>http://www.qa4ecv.eu/sites/default/files/D4.2.pdf</w:t>
              </w:r>
            </w:hyperlink>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B</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T</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250</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Scale needed for regional and global climate modeling.</w:t>
            </w:r>
          </w:p>
        </w:tc>
      </w:tr>
      <w:tr w:rsidR="002B582A" w:rsidTr="002B582A">
        <w:tc>
          <w:tcPr>
            <w:tcW w:w="48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Vertical Resolution</w:t>
            </w:r>
          </w:p>
        </w:tc>
        <w:tc>
          <w:tcPr>
            <w:tcW w:w="36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N/A</w:t>
            </w:r>
          </w:p>
        </w:tc>
        <w:tc>
          <w:tcPr>
            <w:tcW w:w="45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 </w:t>
            </w: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G</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B</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T</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Temporal Resolution</w:t>
            </w:r>
          </w:p>
        </w:tc>
        <w:tc>
          <w:tcPr>
            <w:tcW w:w="36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days</w:t>
            </w:r>
          </w:p>
        </w:tc>
        <w:tc>
          <w:tcPr>
            <w:tcW w:w="45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 </w:t>
            </w: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G</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1</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When assimilated by model, this value corresponds to the climate model temporal resolution. In order to derive a better phenology accuracy.</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B</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T</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10</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xml:space="preserve">When using for crops or </w:t>
            </w:r>
            <w:proofErr w:type="spellStart"/>
            <w:r>
              <w:rPr>
                <w:color w:val="222222"/>
                <w:sz w:val="16"/>
                <w:szCs w:val="16"/>
                <w:bdr w:val="none" w:sz="0" w:space="0" w:color="auto" w:frame="1"/>
              </w:rPr>
              <w:t>ecosytems</w:t>
            </w:r>
            <w:proofErr w:type="spellEnd"/>
            <w:r>
              <w:rPr>
                <w:color w:val="222222"/>
                <w:sz w:val="16"/>
                <w:szCs w:val="16"/>
                <w:bdr w:val="none" w:sz="0" w:space="0" w:color="auto" w:frame="1"/>
              </w:rPr>
              <w:t xml:space="preserve"> modeling</w:t>
            </w:r>
          </w:p>
        </w:tc>
      </w:tr>
      <w:tr w:rsidR="002B582A" w:rsidTr="002B582A">
        <w:tc>
          <w:tcPr>
            <w:tcW w:w="48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Timeliness</w:t>
            </w:r>
          </w:p>
        </w:tc>
        <w:tc>
          <w:tcPr>
            <w:tcW w:w="36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days</w:t>
            </w:r>
          </w:p>
        </w:tc>
        <w:tc>
          <w:tcPr>
            <w:tcW w:w="45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 </w:t>
            </w: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G</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1</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In order to be useful in climate change services.</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B</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T</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5</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In order to be useful in environmental change services.</w:t>
            </w:r>
          </w:p>
        </w:tc>
      </w:tr>
      <w:tr w:rsidR="002B582A" w:rsidTr="002B582A">
        <w:tc>
          <w:tcPr>
            <w:tcW w:w="48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 xml:space="preserve">Required </w:t>
            </w:r>
            <w:r>
              <w:rPr>
                <w:b/>
                <w:bCs/>
                <w:color w:val="FFFFFF"/>
                <w:sz w:val="16"/>
                <w:szCs w:val="16"/>
                <w:bdr w:val="none" w:sz="0" w:space="0" w:color="auto" w:frame="1"/>
              </w:rPr>
              <w:lastRenderedPageBreak/>
              <w:t>Measurement Uncertainty</w:t>
            </w:r>
          </w:p>
        </w:tc>
        <w:tc>
          <w:tcPr>
            <w:tcW w:w="36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lastRenderedPageBreak/>
              <w:t>m2/ m2</w:t>
            </w:r>
          </w:p>
        </w:tc>
        <w:tc>
          <w:tcPr>
            <w:tcW w:w="45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xml:space="preserve">One </w:t>
            </w:r>
            <w:r>
              <w:rPr>
                <w:color w:val="222222"/>
                <w:sz w:val="16"/>
                <w:szCs w:val="16"/>
                <w:bdr w:val="none" w:sz="0" w:space="0" w:color="auto" w:frame="1"/>
              </w:rPr>
              <w:lastRenderedPageBreak/>
              <w:t>standard deviation or error covariance matrix with associated PDF shape (functional form of estimated error distribution for the term).</w:t>
            </w: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lastRenderedPageBreak/>
              <w:t>G</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 xml:space="preserve">10% </w:t>
            </w:r>
            <w:r>
              <w:rPr>
                <w:color w:val="222222"/>
                <w:sz w:val="16"/>
                <w:szCs w:val="16"/>
                <w:bdr w:val="none" w:sz="0" w:space="0" w:color="auto" w:frame="1"/>
              </w:rPr>
              <w:lastRenderedPageBreak/>
              <w:t>when values are higher than 0.5;</w:t>
            </w:r>
          </w:p>
          <w:p w:rsidR="002B582A" w:rsidRDefault="002B582A">
            <w:pPr>
              <w:rPr>
                <w:color w:val="222222"/>
                <w:sz w:val="24"/>
                <w:szCs w:val="24"/>
              </w:rPr>
            </w:pPr>
            <w:r>
              <w:rPr>
                <w:color w:val="222222"/>
                <w:sz w:val="16"/>
                <w:szCs w:val="16"/>
                <w:bdr w:val="none" w:sz="0" w:space="0" w:color="auto" w:frame="1"/>
              </w:rPr>
              <w:t>0.05 for smaller values.</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lastRenderedPageBreak/>
              <w:t xml:space="preserve">The goal value of uncertainties were assessed through literature review of impact of climate change on </w:t>
            </w:r>
            <w:r>
              <w:rPr>
                <w:color w:val="222222"/>
                <w:sz w:val="16"/>
                <w:szCs w:val="16"/>
                <w:bdr w:val="none" w:sz="0" w:space="0" w:color="auto" w:frame="1"/>
              </w:rPr>
              <w:lastRenderedPageBreak/>
              <w:t xml:space="preserve">Leaf Area Index using various earth system models (see </w:t>
            </w:r>
            <w:proofErr w:type="spellStart"/>
            <w:r>
              <w:rPr>
                <w:color w:val="222222"/>
                <w:sz w:val="16"/>
                <w:szCs w:val="16"/>
                <w:bdr w:val="none" w:sz="0" w:space="0" w:color="auto" w:frame="1"/>
              </w:rPr>
              <w:t>Mahowald</w:t>
            </w:r>
            <w:proofErr w:type="spellEnd"/>
            <w:r>
              <w:rPr>
                <w:color w:val="222222"/>
                <w:sz w:val="16"/>
                <w:szCs w:val="16"/>
                <w:bdr w:val="none" w:sz="0" w:space="0" w:color="auto" w:frame="1"/>
              </w:rPr>
              <w:t>, et. al., 2016; </w:t>
            </w:r>
            <w:hyperlink r:id="rId10" w:tgtFrame="_blank" w:history="1">
              <w:r>
                <w:rPr>
                  <w:rStyle w:val="Hyperlink"/>
                  <w:color w:val="6611CC"/>
                  <w:sz w:val="16"/>
                  <w:szCs w:val="16"/>
                  <w:bdr w:val="none" w:sz="0" w:space="0" w:color="auto" w:frame="1"/>
                </w:rPr>
                <w:t>https://www.earth-syst-dynam.net/7/211/2016/</w:t>
              </w:r>
            </w:hyperlink>
            <w:r>
              <w:rPr>
                <w:color w:val="222222"/>
                <w:sz w:val="16"/>
                <w:szCs w:val="16"/>
                <w:bdr w:val="none" w:sz="0" w:space="0" w:color="auto" w:frame="1"/>
              </w:rPr>
              <w:t>)</w:t>
            </w:r>
          </w:p>
          <w:p w:rsidR="002B582A" w:rsidRDefault="002B582A">
            <w:pPr>
              <w:rPr>
                <w:color w:val="222222"/>
              </w:rPr>
            </w:pPr>
            <w:r>
              <w:rPr>
                <w:color w:val="222222"/>
                <w:sz w:val="16"/>
                <w:szCs w:val="16"/>
                <w:bdr w:val="none" w:sz="0" w:space="0" w:color="auto" w:frame="1"/>
              </w:rPr>
              <w:t> </w:t>
            </w:r>
          </w:p>
          <w:p w:rsidR="002B582A" w:rsidRDefault="002B582A">
            <w:pPr>
              <w:rPr>
                <w:color w:val="222222"/>
              </w:rPr>
            </w:pPr>
            <w:r>
              <w:rPr>
                <w:color w:val="222222"/>
                <w:sz w:val="16"/>
                <w:szCs w:val="16"/>
                <w:bdr w:val="none" w:sz="0" w:space="0" w:color="auto" w:frame="1"/>
              </w:rPr>
              <w:t xml:space="preserve">They show impact on LAI deviation at global scale using various RCP scenarios. If we take the models ensemble results, we demonstrate that the uncertainties should be less than </w:t>
            </w:r>
            <w:proofErr w:type="spellStart"/>
            <w:r>
              <w:rPr>
                <w:color w:val="222222"/>
                <w:sz w:val="16"/>
                <w:szCs w:val="16"/>
                <w:bdr w:val="none" w:sz="0" w:space="0" w:color="auto" w:frame="1"/>
              </w:rPr>
              <w:t>Delta_LAI</w:t>
            </w:r>
            <w:proofErr w:type="spellEnd"/>
            <w:r>
              <w:rPr>
                <w:color w:val="222222"/>
                <w:sz w:val="16"/>
                <w:szCs w:val="16"/>
                <w:bdr w:val="none" w:sz="0" w:space="0" w:color="auto" w:frame="1"/>
              </w:rPr>
              <w:t xml:space="preserve"> ~</w:t>
            </w:r>
            <w:r>
              <w:rPr>
                <w:b/>
                <w:bCs/>
                <w:color w:val="222222"/>
                <w:sz w:val="16"/>
                <w:szCs w:val="16"/>
                <w:bdr w:val="none" w:sz="0" w:space="0" w:color="auto" w:frame="1"/>
              </w:rPr>
              <w:t>0.20 for a 2 deg. C deviation for an annual average LAI</w:t>
            </w:r>
            <w:r>
              <w:rPr>
                <w:color w:val="222222"/>
                <w:sz w:val="16"/>
                <w:szCs w:val="16"/>
                <w:bdr w:val="none" w:sz="0" w:space="0" w:color="auto" w:frame="1"/>
              </w:rPr>
              <w:t>, that can be approximated to  ~</w:t>
            </w:r>
            <w:r>
              <w:rPr>
                <w:b/>
                <w:bCs/>
                <w:color w:val="222222"/>
                <w:sz w:val="16"/>
                <w:szCs w:val="16"/>
                <w:bdr w:val="none" w:sz="0" w:space="0" w:color="auto" w:frame="1"/>
              </w:rPr>
              <w:t>1.5</w:t>
            </w:r>
            <w:r>
              <w:rPr>
                <w:color w:val="222222"/>
                <w:sz w:val="16"/>
                <w:szCs w:val="16"/>
                <w:bdr w:val="none" w:sz="0" w:space="0" w:color="auto" w:frame="1"/>
              </w:rPr>
              <w:t>.</w:t>
            </w:r>
          </w:p>
          <w:p w:rsidR="002B582A" w:rsidRDefault="002B582A">
            <w:pPr>
              <w:rPr>
                <w:color w:val="222222"/>
                <w:sz w:val="24"/>
                <w:szCs w:val="24"/>
              </w:rPr>
            </w:pPr>
            <w:r>
              <w:rPr>
                <w:color w:val="222222"/>
                <w:sz w:val="16"/>
                <w:szCs w:val="16"/>
                <w:bdr w:val="none" w:sz="0" w:space="0" w:color="auto" w:frame="1"/>
              </w:rPr>
              <w:t>This means that the uncertainties should be smaller than </w:t>
            </w:r>
            <w:r>
              <w:rPr>
                <w:b/>
                <w:bCs/>
                <w:color w:val="222222"/>
                <w:sz w:val="16"/>
                <w:szCs w:val="16"/>
                <w:bdr w:val="none" w:sz="0" w:space="0" w:color="auto" w:frame="1"/>
              </w:rPr>
              <w:t>10% (~0.20/1.87*100.)</w:t>
            </w:r>
            <w:r>
              <w:rPr>
                <w:color w:val="222222"/>
                <w:sz w:val="16"/>
                <w:szCs w:val="16"/>
                <w:bdr w:val="none" w:sz="0" w:space="0" w:color="auto" w:frame="1"/>
              </w:rPr>
              <w:t>.</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B</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T</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20% when values are higher than 0.5;</w:t>
            </w:r>
          </w:p>
          <w:p w:rsidR="002B582A" w:rsidRDefault="002B582A">
            <w:pPr>
              <w:rPr>
                <w:color w:val="222222"/>
                <w:sz w:val="24"/>
                <w:szCs w:val="24"/>
              </w:rPr>
            </w:pPr>
            <w:r>
              <w:rPr>
                <w:color w:val="222222"/>
                <w:sz w:val="16"/>
                <w:szCs w:val="16"/>
                <w:bdr w:val="none" w:sz="0" w:space="0" w:color="auto" w:frame="1"/>
              </w:rPr>
              <w:t>0.10 for smaller values.</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 </w:t>
            </w:r>
          </w:p>
          <w:p w:rsidR="002B582A" w:rsidRDefault="002B582A">
            <w:pPr>
              <w:rPr>
                <w:color w:val="222222"/>
              </w:rPr>
            </w:pPr>
            <w:r>
              <w:rPr>
                <w:color w:val="222222"/>
                <w:sz w:val="16"/>
                <w:szCs w:val="16"/>
                <w:bdr w:val="none" w:sz="0" w:space="0" w:color="auto" w:frame="1"/>
              </w:rPr>
              <w:t xml:space="preserve">Same as above but with </w:t>
            </w:r>
            <w:proofErr w:type="spellStart"/>
            <w:r>
              <w:rPr>
                <w:color w:val="222222"/>
                <w:sz w:val="16"/>
                <w:szCs w:val="16"/>
                <w:bdr w:val="none" w:sz="0" w:space="0" w:color="auto" w:frame="1"/>
              </w:rPr>
              <w:t>Delta_LAI</w:t>
            </w:r>
            <w:proofErr w:type="spellEnd"/>
            <w:r>
              <w:rPr>
                <w:color w:val="222222"/>
                <w:sz w:val="16"/>
                <w:szCs w:val="16"/>
                <w:bdr w:val="none" w:sz="0" w:space="0" w:color="auto" w:frame="1"/>
              </w:rPr>
              <w:t xml:space="preserve"> ~</w:t>
            </w:r>
            <w:r>
              <w:rPr>
                <w:b/>
                <w:bCs/>
                <w:color w:val="222222"/>
                <w:sz w:val="16"/>
                <w:szCs w:val="16"/>
                <w:bdr w:val="none" w:sz="0" w:space="0" w:color="auto" w:frame="1"/>
              </w:rPr>
              <w:t>0.25</w:t>
            </w:r>
          </w:p>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Stability</w:t>
            </w:r>
          </w:p>
        </w:tc>
        <w:tc>
          <w:tcPr>
            <w:tcW w:w="36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rate of change of LAI over the available time period (m2/m2 per decade)</w:t>
            </w:r>
          </w:p>
        </w:tc>
        <w:tc>
          <w:tcPr>
            <w:tcW w:w="45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A factor of uncertainties to demonstrate that the ‘error’ of the product remains constant over the period, typically a decade or more (see background information).</w:t>
            </w: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G</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&lt; 3% per decade</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 xml:space="preserve">‘The required stability is some fraction of the expected signal’ (see </w:t>
            </w:r>
            <w:proofErr w:type="spellStart"/>
            <w:r>
              <w:rPr>
                <w:color w:val="222222"/>
                <w:sz w:val="16"/>
                <w:szCs w:val="16"/>
                <w:bdr w:val="none" w:sz="0" w:space="0" w:color="auto" w:frame="1"/>
              </w:rPr>
              <w:t>Ohring</w:t>
            </w:r>
            <w:proofErr w:type="spellEnd"/>
            <w:r>
              <w:rPr>
                <w:color w:val="222222"/>
                <w:sz w:val="16"/>
                <w:szCs w:val="16"/>
                <w:bdr w:val="none" w:sz="0" w:space="0" w:color="auto" w:frame="1"/>
              </w:rPr>
              <w:t>, et. al. 2005. </w:t>
            </w:r>
            <w:hyperlink r:id="rId11" w:tgtFrame="_blank" w:history="1">
              <w:r>
                <w:rPr>
                  <w:rStyle w:val="Hyperlink"/>
                  <w:color w:val="6611CC"/>
                  <w:sz w:val="16"/>
                  <w:szCs w:val="16"/>
                  <w:bdr w:val="none" w:sz="0" w:space="0" w:color="auto" w:frame="1"/>
                </w:rPr>
                <w:t>https://journals.ametsoc.org/doi/pdf/10.1175/BAMS-86-9-1303</w:t>
              </w:r>
            </w:hyperlink>
            <w:r>
              <w:rPr>
                <w:color w:val="222222"/>
                <w:sz w:val="16"/>
                <w:szCs w:val="16"/>
                <w:bdr w:val="none" w:sz="0" w:space="0" w:color="auto" w:frame="1"/>
              </w:rPr>
              <w:t>).</w:t>
            </w:r>
          </w:p>
          <w:p w:rsidR="002B582A" w:rsidRDefault="002B582A">
            <w:pPr>
              <w:rPr>
                <w:color w:val="222222"/>
              </w:rPr>
            </w:pPr>
            <w:r>
              <w:rPr>
                <w:color w:val="222222"/>
                <w:sz w:val="16"/>
                <w:szCs w:val="16"/>
                <w:bdr w:val="none" w:sz="0" w:space="0" w:color="auto" w:frame="1"/>
              </w:rPr>
              <w:t>“It may represent a requirement on the extent to which the error of the product remains constant over a long period, typically a decade or more. It can be defined by the mean of uncertainties over a month …”.</w:t>
            </w:r>
          </w:p>
          <w:p w:rsidR="002B582A" w:rsidRDefault="002B582A">
            <w:pPr>
              <w:rPr>
                <w:color w:val="222222"/>
              </w:rPr>
            </w:pPr>
            <w:r>
              <w:rPr>
                <w:color w:val="222222"/>
                <w:sz w:val="16"/>
                <w:szCs w:val="16"/>
                <w:bdr w:val="none" w:sz="0" w:space="0" w:color="auto" w:frame="1"/>
              </w:rPr>
              <w:t>In the case that we have </w:t>
            </w:r>
            <w:r>
              <w:rPr>
                <w:color w:val="000000"/>
                <w:sz w:val="16"/>
                <w:szCs w:val="16"/>
                <w:bdr w:val="none" w:sz="0" w:space="0" w:color="auto" w:frame="1"/>
              </w:rPr>
              <w:t>data over </w:t>
            </w:r>
            <w:r>
              <w:rPr>
                <w:b/>
                <w:bCs/>
                <w:color w:val="000000"/>
                <w:sz w:val="16"/>
                <w:szCs w:val="16"/>
                <w:bdr w:val="none" w:sz="0" w:space="0" w:color="auto" w:frame="1"/>
              </w:rPr>
              <w:t>10</w:t>
            </w:r>
            <w:r>
              <w:rPr>
                <w:color w:val="FF0000"/>
                <w:sz w:val="16"/>
                <w:szCs w:val="16"/>
                <w:bdr w:val="none" w:sz="0" w:space="0" w:color="auto" w:frame="1"/>
              </w:rPr>
              <w:t> </w:t>
            </w:r>
            <w:r>
              <w:rPr>
                <w:color w:val="222222"/>
                <w:sz w:val="16"/>
                <w:szCs w:val="16"/>
                <w:bdr w:val="none" w:sz="0" w:space="0" w:color="auto" w:frame="1"/>
              </w:rPr>
              <w:t>years (= one decade)</w:t>
            </w:r>
          </w:p>
          <w:p w:rsidR="002B582A" w:rsidRDefault="002B582A">
            <w:pPr>
              <w:rPr>
                <w:color w:val="222222"/>
              </w:rPr>
            </w:pPr>
            <w:r>
              <w:rPr>
                <w:color w:val="222222"/>
                <w:sz w:val="16"/>
                <w:szCs w:val="16"/>
                <w:bdr w:val="none" w:sz="0" w:space="0" w:color="auto" w:frame="1"/>
              </w:rPr>
              <w:t>N=</w:t>
            </w:r>
            <w:r>
              <w:rPr>
                <w:b/>
                <w:bCs/>
                <w:color w:val="222222"/>
                <w:sz w:val="16"/>
                <w:szCs w:val="16"/>
                <w:bdr w:val="none" w:sz="0" w:space="0" w:color="auto" w:frame="1"/>
              </w:rPr>
              <w:t>10</w:t>
            </w:r>
            <w:r>
              <w:rPr>
                <w:color w:val="222222"/>
                <w:sz w:val="16"/>
                <w:szCs w:val="16"/>
                <w:bdr w:val="none" w:sz="0" w:space="0" w:color="auto" w:frame="1"/>
              </w:rPr>
              <w:t> and U=</w:t>
            </w:r>
            <w:r>
              <w:rPr>
                <w:b/>
                <w:bCs/>
                <w:color w:val="222222"/>
                <w:sz w:val="16"/>
                <w:szCs w:val="16"/>
                <w:bdr w:val="none" w:sz="0" w:space="0" w:color="auto" w:frame="1"/>
              </w:rPr>
              <w:t>10%</w:t>
            </w:r>
          </w:p>
          <w:p w:rsidR="002B582A" w:rsidRDefault="002B582A">
            <w:pPr>
              <w:rPr>
                <w:color w:val="222222"/>
              </w:rPr>
            </w:pPr>
            <w:r>
              <w:rPr>
                <w:color w:val="222222"/>
                <w:sz w:val="16"/>
                <w:szCs w:val="16"/>
                <w:bdr w:val="none" w:sz="0" w:space="0" w:color="auto" w:frame="1"/>
              </w:rPr>
              <w:t>S=</w:t>
            </w:r>
            <w:proofErr w:type="spellStart"/>
            <w:r>
              <w:rPr>
                <w:color w:val="222222"/>
                <w:sz w:val="16"/>
                <w:szCs w:val="16"/>
                <w:bdr w:val="none" w:sz="0" w:space="0" w:color="auto" w:frame="1"/>
              </w:rPr>
              <w:t>sqrt</w:t>
            </w:r>
            <w:proofErr w:type="spellEnd"/>
            <w:r>
              <w:rPr>
                <w:color w:val="222222"/>
                <w:sz w:val="16"/>
                <w:szCs w:val="16"/>
                <w:bdr w:val="none" w:sz="0" w:space="0" w:color="auto" w:frame="1"/>
              </w:rPr>
              <w:t>(sum(U^2))/N.</w:t>
            </w:r>
          </w:p>
          <w:p w:rsidR="002B582A" w:rsidRDefault="002B582A">
            <w:pPr>
              <w:rPr>
                <w:color w:val="222222"/>
              </w:rPr>
            </w:pPr>
            <w:r>
              <w:rPr>
                <w:color w:val="222222"/>
                <w:sz w:val="16"/>
                <w:szCs w:val="16"/>
                <w:bdr w:val="none" w:sz="0" w:space="0" w:color="auto" w:frame="1"/>
              </w:rPr>
              <w:t>Assuming U constant along the period</w:t>
            </w:r>
          </w:p>
          <w:p w:rsidR="002B582A" w:rsidRDefault="002B582A">
            <w:pPr>
              <w:rPr>
                <w:color w:val="222222"/>
              </w:rPr>
            </w:pPr>
            <w:r>
              <w:rPr>
                <w:color w:val="222222"/>
                <w:sz w:val="16"/>
                <w:szCs w:val="16"/>
                <w:bdr w:val="none" w:sz="0" w:space="0" w:color="auto" w:frame="1"/>
              </w:rPr>
              <w:t>It means S=SQRT(N*U^2)/N=SQRT(N)*U/N</w:t>
            </w:r>
          </w:p>
          <w:p w:rsidR="002B582A" w:rsidRDefault="002B582A">
            <w:pPr>
              <w:rPr>
                <w:color w:val="222222"/>
              </w:rPr>
            </w:pPr>
            <w:r>
              <w:rPr>
                <w:b/>
                <w:bCs/>
                <w:color w:val="222222"/>
                <w:sz w:val="16"/>
                <w:szCs w:val="16"/>
                <w:bdr w:val="none" w:sz="0" w:space="0" w:color="auto" w:frame="1"/>
              </w:rPr>
              <w:t>S=0.3*U = 0.31 * 10./100.0 = 3 %</w:t>
            </w:r>
          </w:p>
          <w:p w:rsidR="002B582A" w:rsidRDefault="002B582A">
            <w:pPr>
              <w:rPr>
                <w:color w:val="222222"/>
              </w:rPr>
            </w:pPr>
            <w:r>
              <w:rPr>
                <w:color w:val="222222"/>
                <w:sz w:val="16"/>
                <w:szCs w:val="16"/>
                <w:bdr w:val="none" w:sz="0" w:space="0" w:color="auto" w:frame="1"/>
              </w:rPr>
              <w:t>This number should be smaller than expected Leaf Area Index trend.</w:t>
            </w:r>
          </w:p>
          <w:p w:rsidR="002B582A" w:rsidRDefault="002B582A">
            <w:pPr>
              <w:rPr>
                <w:color w:val="222222"/>
              </w:rPr>
            </w:pPr>
            <w:r>
              <w:rPr>
                <w:color w:val="222222"/>
                <w:sz w:val="16"/>
                <w:szCs w:val="16"/>
                <w:bdr w:val="none" w:sz="0" w:space="0" w:color="auto" w:frame="1"/>
              </w:rPr>
              <w:t>Reference:</w:t>
            </w:r>
          </w:p>
          <w:p w:rsidR="002B582A" w:rsidRDefault="002B582A">
            <w:pPr>
              <w:rPr>
                <w:color w:val="222222"/>
              </w:rPr>
            </w:pPr>
            <w:r>
              <w:rPr>
                <w:rFonts w:ascii="Arial" w:hAnsi="Arial" w:cs="Arial"/>
                <w:color w:val="222222"/>
                <w:sz w:val="13"/>
                <w:szCs w:val="13"/>
                <w:bdr w:val="none" w:sz="0" w:space="0" w:color="auto" w:frame="1"/>
              </w:rPr>
              <w:t xml:space="preserve">C. Y. Jiang, Y. </w:t>
            </w:r>
            <w:proofErr w:type="spellStart"/>
            <w:r>
              <w:rPr>
                <w:rFonts w:ascii="Arial" w:hAnsi="Arial" w:cs="Arial"/>
                <w:color w:val="222222"/>
                <w:sz w:val="13"/>
                <w:szCs w:val="13"/>
                <w:bdr w:val="none" w:sz="0" w:space="0" w:color="auto" w:frame="1"/>
              </w:rPr>
              <w:t>Ryu</w:t>
            </w:r>
            <w:proofErr w:type="spellEnd"/>
            <w:r>
              <w:rPr>
                <w:rFonts w:ascii="Arial" w:hAnsi="Arial" w:cs="Arial"/>
                <w:color w:val="222222"/>
                <w:sz w:val="13"/>
                <w:szCs w:val="13"/>
                <w:bdr w:val="none" w:sz="0" w:space="0" w:color="auto" w:frame="1"/>
              </w:rPr>
              <w:t xml:space="preserve">, H. Fang, R. </w:t>
            </w:r>
            <w:proofErr w:type="spellStart"/>
            <w:r>
              <w:rPr>
                <w:rFonts w:ascii="Arial" w:hAnsi="Arial" w:cs="Arial"/>
                <w:color w:val="222222"/>
                <w:sz w:val="13"/>
                <w:szCs w:val="13"/>
                <w:bdr w:val="none" w:sz="0" w:space="0" w:color="auto" w:frame="1"/>
              </w:rPr>
              <w:t>Myneni</w:t>
            </w:r>
            <w:proofErr w:type="spellEnd"/>
            <w:r>
              <w:rPr>
                <w:rFonts w:ascii="Arial" w:hAnsi="Arial" w:cs="Arial"/>
                <w:color w:val="222222"/>
                <w:sz w:val="13"/>
                <w:szCs w:val="13"/>
                <w:bdr w:val="none" w:sz="0" w:space="0" w:color="auto" w:frame="1"/>
              </w:rPr>
              <w:t xml:space="preserve">, M. </w:t>
            </w:r>
            <w:proofErr w:type="spellStart"/>
            <w:r>
              <w:rPr>
                <w:rFonts w:ascii="Arial" w:hAnsi="Arial" w:cs="Arial"/>
                <w:color w:val="222222"/>
                <w:sz w:val="13"/>
                <w:szCs w:val="13"/>
                <w:bdr w:val="none" w:sz="0" w:space="0" w:color="auto" w:frame="1"/>
              </w:rPr>
              <w:t>Claverie</w:t>
            </w:r>
            <w:proofErr w:type="spellEnd"/>
            <w:r>
              <w:rPr>
                <w:rFonts w:ascii="Arial" w:hAnsi="Arial" w:cs="Arial"/>
                <w:color w:val="222222"/>
                <w:sz w:val="13"/>
                <w:szCs w:val="13"/>
                <w:bdr w:val="none" w:sz="0" w:space="0" w:color="auto" w:frame="1"/>
              </w:rPr>
              <w:t xml:space="preserve">, Z. Zhu, Inconsistencies of </w:t>
            </w:r>
            <w:proofErr w:type="spellStart"/>
            <w:r>
              <w:rPr>
                <w:rFonts w:ascii="Arial" w:hAnsi="Arial" w:cs="Arial"/>
                <w:color w:val="222222"/>
                <w:sz w:val="13"/>
                <w:szCs w:val="13"/>
                <w:bdr w:val="none" w:sz="0" w:space="0" w:color="auto" w:frame="1"/>
              </w:rPr>
              <w:t>interannual</w:t>
            </w:r>
            <w:proofErr w:type="spellEnd"/>
          </w:p>
          <w:p w:rsidR="002B582A" w:rsidRDefault="002B582A">
            <w:pPr>
              <w:rPr>
                <w:color w:val="222222"/>
              </w:rPr>
            </w:pPr>
            <w:r>
              <w:rPr>
                <w:rFonts w:ascii="Arial" w:hAnsi="Arial" w:cs="Arial"/>
                <w:color w:val="222222"/>
                <w:sz w:val="13"/>
                <w:szCs w:val="13"/>
                <w:bdr w:val="none" w:sz="0" w:space="0" w:color="auto" w:frame="1"/>
              </w:rPr>
              <w:t>variability and trends in long-term satellite leaf area index products. </w:t>
            </w:r>
            <w:r>
              <w:rPr>
                <w:rFonts w:ascii="Arial" w:hAnsi="Arial" w:cs="Arial"/>
                <w:i/>
                <w:iCs/>
                <w:color w:val="222222"/>
                <w:sz w:val="13"/>
                <w:szCs w:val="13"/>
                <w:bdr w:val="none" w:sz="0" w:space="0" w:color="auto" w:frame="1"/>
              </w:rPr>
              <w:t>Glob. Chang. Biol. </w:t>
            </w:r>
            <w:r>
              <w:rPr>
                <w:rFonts w:ascii="Arial" w:hAnsi="Arial" w:cs="Arial"/>
                <w:b/>
                <w:bCs/>
                <w:color w:val="222222"/>
                <w:sz w:val="13"/>
                <w:szCs w:val="13"/>
                <w:bdr w:val="none" w:sz="0" w:space="0" w:color="auto" w:frame="1"/>
              </w:rPr>
              <w:t>23</w:t>
            </w:r>
            <w:r>
              <w:rPr>
                <w:rFonts w:ascii="Arial" w:hAnsi="Arial" w:cs="Arial"/>
                <w:color w:val="222222"/>
                <w:sz w:val="13"/>
                <w:szCs w:val="13"/>
                <w:bdr w:val="none" w:sz="0" w:space="0" w:color="auto" w:frame="1"/>
              </w:rPr>
              <w:t>,</w:t>
            </w:r>
          </w:p>
          <w:p w:rsidR="002B582A" w:rsidRDefault="002B582A">
            <w:pPr>
              <w:rPr>
                <w:color w:val="222222"/>
              </w:rPr>
            </w:pPr>
            <w:r>
              <w:rPr>
                <w:rFonts w:ascii="Arial" w:hAnsi="Arial" w:cs="Arial"/>
                <w:color w:val="222222"/>
                <w:sz w:val="13"/>
                <w:szCs w:val="13"/>
                <w:bdr w:val="none" w:sz="0" w:space="0" w:color="auto" w:frame="1"/>
              </w:rPr>
              <w:t>4133–4146 (2017).)</w:t>
            </w:r>
          </w:p>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B</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T</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&lt; 6% per decad</w:t>
            </w:r>
            <w:r>
              <w:rPr>
                <w:color w:val="222222"/>
                <w:sz w:val="16"/>
                <w:szCs w:val="16"/>
                <w:bdr w:val="none" w:sz="0" w:space="0" w:color="auto" w:frame="1"/>
              </w:rPr>
              <w:lastRenderedPageBreak/>
              <w:t>e</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lastRenderedPageBreak/>
              <w:t>Same as above but with threshold uncertainty.</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lastRenderedPageBreak/>
              <w:t>Standards and References</w:t>
            </w:r>
          </w:p>
        </w:tc>
        <w:tc>
          <w:tcPr>
            <w:tcW w:w="451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LENGTH OF RECORD: Threshold &gt; 20</w:t>
            </w:r>
            <w:r>
              <w:rPr>
                <w:color w:val="FF0000"/>
                <w:sz w:val="16"/>
                <w:szCs w:val="16"/>
                <w:bdr w:val="none" w:sz="0" w:space="0" w:color="auto" w:frame="1"/>
              </w:rPr>
              <w:t> </w:t>
            </w:r>
            <w:r>
              <w:rPr>
                <w:color w:val="222222"/>
                <w:sz w:val="16"/>
                <w:szCs w:val="16"/>
                <w:bdr w:val="none" w:sz="0" w:space="0" w:color="auto" w:frame="1"/>
              </w:rPr>
              <w:t>years; Goal &gt;40 years</w:t>
            </w:r>
          </w:p>
        </w:tc>
      </w:tr>
      <w:tr w:rsidR="002B582A" w:rsidTr="002B582A">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jc w:val="center"/>
              <w:rPr>
                <w:color w:val="222222"/>
                <w:sz w:val="24"/>
                <w:szCs w:val="24"/>
              </w:rPr>
            </w:pPr>
            <w:r>
              <w:rPr>
                <w:b/>
                <w:bCs/>
                <w:color w:val="FFFFFF"/>
                <w:sz w:val="16"/>
                <w:szCs w:val="16"/>
                <w:bdr w:val="none" w:sz="0" w:space="0" w:color="auto" w:frame="1"/>
              </w:rPr>
              <w:t>Adaptation and Extremes</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 </w:t>
            </w:r>
          </w:p>
        </w:tc>
        <w:tc>
          <w:tcPr>
            <w:tcW w:w="36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Relevant? (Yes/No)</w:t>
            </w:r>
          </w:p>
        </w:tc>
        <w:tc>
          <w:tcPr>
            <w:tcW w:w="45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695"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Explanation</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3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yes</w:t>
            </w:r>
          </w:p>
        </w:tc>
        <w:tc>
          <w:tcPr>
            <w:tcW w:w="4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yes</w:t>
            </w:r>
          </w:p>
        </w:tc>
        <w:tc>
          <w:tcPr>
            <w:tcW w:w="3695"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The Leaf Area Index also indicates the state and the amount of vegetation canopies meaning that the impact on adaptation policies toward ‘</w:t>
            </w:r>
            <w:proofErr w:type="spellStart"/>
            <w:r>
              <w:rPr>
                <w:color w:val="222222"/>
                <w:sz w:val="16"/>
                <w:szCs w:val="16"/>
                <w:bdr w:val="none" w:sz="0" w:space="0" w:color="auto" w:frame="1"/>
              </w:rPr>
              <w:t>GreenCities</w:t>
            </w:r>
            <w:proofErr w:type="spellEnd"/>
            <w:r>
              <w:rPr>
                <w:color w:val="222222"/>
                <w:sz w:val="16"/>
                <w:szCs w:val="16"/>
                <w:bdr w:val="none" w:sz="0" w:space="0" w:color="auto" w:frame="1"/>
              </w:rPr>
              <w:t>’ or/and agricultural change management can be assessed.   </w:t>
            </w:r>
          </w:p>
        </w:tc>
      </w:tr>
      <w:tr w:rsidR="002B582A" w:rsidTr="002B582A">
        <w:trPr>
          <w:trHeight w:val="266"/>
        </w:trPr>
        <w:tc>
          <w:tcPr>
            <w:tcW w:w="48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3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yes</w:t>
            </w:r>
          </w:p>
        </w:tc>
        <w:tc>
          <w:tcPr>
            <w:tcW w:w="4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yes</w:t>
            </w:r>
          </w:p>
        </w:tc>
        <w:tc>
          <w:tcPr>
            <w:tcW w:w="3695"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Impact on extreme event, such as drought, can be monitor by this ECV.  </w:t>
            </w:r>
          </w:p>
        </w:tc>
      </w:tr>
    </w:tbl>
    <w:p w:rsidR="002B582A" w:rsidRDefault="002B582A" w:rsidP="002B582A">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2B582A" w:rsidRDefault="002B582A" w:rsidP="002B582A">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2B582A" w:rsidRPr="002B582A" w:rsidRDefault="002B582A" w:rsidP="002B582A">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2B582A">
        <w:rPr>
          <w:rFonts w:ascii="Arial" w:hAnsi="Arial" w:cs="Arial"/>
          <w:color w:val="222222"/>
          <w:sz w:val="16"/>
          <w:szCs w:val="16"/>
          <w:bdr w:val="none" w:sz="0" w:space="0" w:color="auto" w:frame="1"/>
          <w:lang w:val="en-US"/>
        </w:rPr>
        <w:t>Goal (G); Breakthrough (B)(not mandatory, more as one possible); Threshold (T), for definitions see </w:t>
      </w:r>
      <w:hyperlink r:id="rId12" w:tgtFrame="_blank" w:history="1">
        <w:r>
          <w:rPr>
            <w:rStyle w:val="Hyperlink"/>
            <w:rFonts w:ascii="Arial" w:hAnsi="Arial" w:cs="Arial"/>
            <w:color w:val="6611CC"/>
            <w:sz w:val="16"/>
            <w:szCs w:val="16"/>
            <w:bdr w:val="none" w:sz="0" w:space="0" w:color="auto" w:frame="1"/>
            <w:lang w:val="en-GB"/>
          </w:rPr>
          <w:t>Guidelines</w:t>
        </w:r>
      </w:hyperlink>
    </w:p>
    <w:p w:rsidR="002B582A" w:rsidRPr="002B582A" w:rsidRDefault="002B582A" w:rsidP="002B582A">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2B582A" w:rsidRPr="002B582A" w:rsidRDefault="002B582A" w:rsidP="002B582A">
      <w:pPr>
        <w:pStyle w:val="NormalWeb"/>
        <w:shd w:val="clear" w:color="auto" w:fill="FFFFFF"/>
        <w:spacing w:before="0" w:beforeAutospacing="0" w:after="0" w:afterAutospacing="0"/>
        <w:rPr>
          <w:rFonts w:ascii="Arial" w:hAnsi="Arial" w:cs="Arial"/>
          <w:color w:val="222222"/>
          <w:sz w:val="20"/>
          <w:szCs w:val="20"/>
          <w:lang w:val="en-US"/>
        </w:rPr>
      </w:pPr>
      <w:bookmarkStart w:id="0" w:name="d88da8f4-9ce9-4e47-b923-70fae1f54f46@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F07CBB">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howingPlcHdr/>
              </w:sdtPr>
              <w:sdtEndPr/>
              <w:sdtContent>
                <w:r w:rsidR="00F07CBB" w:rsidRPr="00697ACC">
                  <w:rPr>
                    <w:rStyle w:val="PlaceholderText"/>
                  </w:rPr>
                  <w:t>Click here to enter text.</w:t>
                </w:r>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2B582A" w:rsidRPr="002B582A">
                  <w:rPr>
                    <w:sz w:val="20"/>
                    <w:szCs w:val="20"/>
                  </w:rPr>
                  <w:t>debhem@hotmail.co.uk</w:t>
                </w:r>
              </w:sdtContent>
            </w:sdt>
          </w:p>
        </w:tc>
      </w:tr>
      <w:tr w:rsidR="009029F2" w:rsidTr="009029F2">
        <w:tc>
          <w:tcPr>
            <w:tcW w:w="5000" w:type="pct"/>
            <w:gridSpan w:val="2"/>
          </w:tcPr>
          <w:p w:rsidR="009029F2" w:rsidRPr="009029F2" w:rsidRDefault="00D34E3B" w:rsidP="002B582A">
            <w:pPr>
              <w:rPr>
                <w:sz w:val="20"/>
                <w:szCs w:val="20"/>
              </w:rPr>
            </w:pPr>
            <w:sdt>
              <w:sdtPr>
                <w:rPr>
                  <w:sz w:val="20"/>
                  <w:szCs w:val="20"/>
                </w:rPr>
                <w:id w:val="146030158"/>
                <w:placeholder>
                  <w:docPart w:val="DAAAB45119BB41448760B5066F838481"/>
                </w:placeholder>
              </w:sdtPr>
              <w:sdtEndPr/>
              <w:sdtContent>
                <w:r w:rsidR="002B582A">
                  <w:rPr>
                    <w:sz w:val="20"/>
                    <w:szCs w:val="20"/>
                  </w:rPr>
                  <w:t>See in table below</w:t>
                </w:r>
              </w:sdtContent>
            </w:sdt>
          </w:p>
        </w:tc>
      </w:tr>
    </w:tbl>
    <w:tbl>
      <w:tblPr>
        <w:tblW w:w="5000" w:type="pct"/>
        <w:shd w:val="clear" w:color="auto" w:fill="FFFFFF"/>
        <w:tblCellMar>
          <w:left w:w="0" w:type="dxa"/>
          <w:right w:w="0" w:type="dxa"/>
        </w:tblCellMar>
        <w:tblLook w:val="04A0" w:firstRow="1" w:lastRow="0" w:firstColumn="1" w:lastColumn="0" w:noHBand="0" w:noVBand="1"/>
      </w:tblPr>
      <w:tblGrid>
        <w:gridCol w:w="1071"/>
        <w:gridCol w:w="803"/>
        <w:gridCol w:w="1002"/>
        <w:gridCol w:w="385"/>
        <w:gridCol w:w="650"/>
        <w:gridCol w:w="7105"/>
      </w:tblGrid>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Name</w:t>
            </w:r>
          </w:p>
        </w:tc>
        <w:tc>
          <w:tcPr>
            <w:tcW w:w="451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Leaf Area Index</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Definition</w:t>
            </w:r>
          </w:p>
        </w:tc>
        <w:tc>
          <w:tcPr>
            <w:tcW w:w="451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Effective Leaf Area Index;</w:t>
            </w:r>
          </w:p>
          <w:p w:rsidR="002B582A" w:rsidRDefault="002B582A">
            <w:pPr>
              <w:rPr>
                <w:color w:val="222222"/>
                <w:sz w:val="24"/>
                <w:szCs w:val="24"/>
              </w:rPr>
            </w:pPr>
            <w:r>
              <w:rPr>
                <w:color w:val="222222"/>
                <w:sz w:val="16"/>
                <w:szCs w:val="16"/>
                <w:bdr w:val="none" w:sz="0" w:space="0" w:color="auto" w:frame="1"/>
              </w:rPr>
              <w:t>True Leaf  Area  Index  (LAI)  of  a  plant  canopy  or  ecosystem is  defined  as  one  half  of  the  total  green  leaf  area  per  unit  horizontal  ground  surface  area and  measures  the  area  of  leaf  material  present  in  the  specified  environment. (Projection to the underlying ground along the normal to the slope).</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Unit</w:t>
            </w:r>
          </w:p>
        </w:tc>
        <w:tc>
          <w:tcPr>
            <w:tcW w:w="451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m</w:t>
            </w:r>
            <w:r>
              <w:rPr>
                <w:color w:val="222222"/>
                <w:sz w:val="16"/>
                <w:szCs w:val="16"/>
                <w:bdr w:val="none" w:sz="0" w:space="0" w:color="auto" w:frame="1"/>
                <w:vertAlign w:val="superscript"/>
              </w:rPr>
              <w:t>2</w:t>
            </w:r>
            <w:r>
              <w:rPr>
                <w:color w:val="222222"/>
                <w:sz w:val="16"/>
                <w:szCs w:val="16"/>
                <w:bdr w:val="none" w:sz="0" w:space="0" w:color="auto" w:frame="1"/>
              </w:rPr>
              <w:t>/m</w:t>
            </w:r>
            <w:r>
              <w:rPr>
                <w:color w:val="222222"/>
                <w:sz w:val="16"/>
                <w:szCs w:val="16"/>
                <w:bdr w:val="none" w:sz="0" w:space="0" w:color="auto" w:frame="1"/>
                <w:vertAlign w:val="superscript"/>
              </w:rPr>
              <w:t>2</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Note</w:t>
            </w:r>
          </w:p>
        </w:tc>
        <w:tc>
          <w:tcPr>
            <w:tcW w:w="451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The  conversion  of  data  measurements to true values is an essential step and requires additional information about the structure  and  architecture  of  the  canopy,  e.g.  gap  size  distributions,  at  the  appropriate  spatial  resolutions.</w:t>
            </w:r>
          </w:p>
          <w:p w:rsidR="002B582A" w:rsidRDefault="002B582A">
            <w:pPr>
              <w:rPr>
                <w:color w:val="222222"/>
                <w:sz w:val="24"/>
                <w:szCs w:val="24"/>
              </w:rPr>
            </w:pPr>
            <w:r>
              <w:rPr>
                <w:color w:val="222222"/>
                <w:sz w:val="16"/>
                <w:szCs w:val="16"/>
                <w:bdr w:val="none" w:sz="0" w:space="0" w:color="auto" w:frame="1"/>
              </w:rPr>
              <w:t>LENGTH OF RECORD: Threshold: 20 years; Target: &gt;40 years</w:t>
            </w:r>
          </w:p>
        </w:tc>
      </w:tr>
      <w:tr w:rsidR="002B582A" w:rsidTr="002B582A">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jc w:val="center"/>
              <w:rPr>
                <w:color w:val="222222"/>
                <w:sz w:val="24"/>
                <w:szCs w:val="24"/>
              </w:rPr>
            </w:pPr>
            <w:r>
              <w:rPr>
                <w:b/>
                <w:bCs/>
                <w:color w:val="FFFFFF"/>
                <w:sz w:val="16"/>
                <w:szCs w:val="16"/>
                <w:bdr w:val="none" w:sz="0" w:space="0" w:color="auto" w:frame="1"/>
              </w:rPr>
              <w:t>Requirements</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jc w:val="center"/>
              <w:rPr>
                <w:color w:val="222222"/>
                <w:sz w:val="24"/>
                <w:szCs w:val="24"/>
              </w:rPr>
            </w:pPr>
            <w:bookmarkStart w:id="1" w:name="20911c71-ac48-4915-b08c-eb6ee38b0b01@wmo" w:colFirst="3" w:colLast="3"/>
            <w:r>
              <w:rPr>
                <w:b/>
                <w:bCs/>
                <w:color w:val="FFFFFF"/>
                <w:sz w:val="16"/>
                <w:szCs w:val="16"/>
                <w:bdr w:val="none" w:sz="0" w:space="0" w:color="auto" w:frame="1"/>
              </w:rPr>
              <w:t>Item needed</w:t>
            </w:r>
          </w:p>
        </w:tc>
        <w:tc>
          <w:tcPr>
            <w:tcW w:w="36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b/>
                <w:bCs/>
                <w:color w:val="222222"/>
                <w:sz w:val="16"/>
                <w:szCs w:val="16"/>
                <w:bdr w:val="none" w:sz="0" w:space="0" w:color="auto" w:frame="1"/>
              </w:rPr>
              <w:t>Unit</w:t>
            </w:r>
          </w:p>
        </w:tc>
        <w:tc>
          <w:tcPr>
            <w:tcW w:w="45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b/>
                <w:bCs/>
                <w:color w:val="222222"/>
                <w:sz w:val="16"/>
                <w:szCs w:val="16"/>
                <w:bdr w:val="none" w:sz="0" w:space="0" w:color="auto" w:frame="1"/>
              </w:rPr>
              <w:t>Metric</w:t>
            </w:r>
          </w:p>
        </w:tc>
        <w:tc>
          <w:tcPr>
            <w:tcW w:w="17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rFonts w:ascii="Calibri" w:hAnsi="Calibri"/>
                <w:b/>
                <w:bCs/>
                <w:color w:val="1155CC"/>
                <w:sz w:val="16"/>
                <w:szCs w:val="16"/>
                <w:bdr w:val="none" w:sz="0" w:space="0" w:color="auto" w:frame="1"/>
              </w:rPr>
              <w:t>[1]</w:t>
            </w:r>
          </w:p>
        </w:tc>
        <w:tc>
          <w:tcPr>
            <w:tcW w:w="29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b/>
                <w:bCs/>
                <w:color w:val="222222"/>
                <w:sz w:val="16"/>
                <w:szCs w:val="16"/>
                <w:bdr w:val="none" w:sz="0" w:space="0" w:color="auto" w:frame="1"/>
              </w:rPr>
              <w:t>Value</w:t>
            </w:r>
          </w:p>
        </w:tc>
        <w:tc>
          <w:tcPr>
            <w:tcW w:w="322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b/>
                <w:bCs/>
                <w:color w:val="222222"/>
                <w:sz w:val="16"/>
                <w:szCs w:val="16"/>
                <w:bdr w:val="none" w:sz="0" w:space="0" w:color="auto" w:frame="1"/>
              </w:rPr>
              <w:t>Derivation and References and Standards</w:t>
            </w:r>
          </w:p>
        </w:tc>
      </w:tr>
      <w:tr w:rsidR="002B582A" w:rsidTr="002B582A">
        <w:tc>
          <w:tcPr>
            <w:tcW w:w="48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Horizontal Resolution</w:t>
            </w:r>
          </w:p>
        </w:tc>
        <w:tc>
          <w:tcPr>
            <w:tcW w:w="36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m</w:t>
            </w:r>
          </w:p>
        </w:tc>
        <w:tc>
          <w:tcPr>
            <w:tcW w:w="45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 </w:t>
            </w: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G</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10</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Leaf Area Index  controls  important  mass and energy exchange processes, such as radiation and rain  interception,  as  well  as  photosynthesis  and  respiration,  which  couple  vegetation  to  the  climate  system.  </w:t>
            </w:r>
          </w:p>
          <w:p w:rsidR="002B582A" w:rsidRDefault="002B582A">
            <w:pPr>
              <w:rPr>
                <w:color w:val="222222"/>
              </w:rPr>
            </w:pPr>
            <w:r>
              <w:rPr>
                <w:color w:val="222222"/>
                <w:sz w:val="16"/>
                <w:szCs w:val="16"/>
                <w:bdr w:val="none" w:sz="0" w:space="0" w:color="auto" w:frame="1"/>
              </w:rPr>
              <w:t>Application at 10 m: Climate Adaptation, Agricultural monitoring</w:t>
            </w:r>
          </w:p>
          <w:p w:rsidR="002B582A" w:rsidRDefault="002B582A">
            <w:pPr>
              <w:rPr>
                <w:color w:val="222222"/>
              </w:rPr>
            </w:pPr>
            <w:r>
              <w:rPr>
                <w:color w:val="222222"/>
                <w:sz w:val="16"/>
                <w:szCs w:val="16"/>
                <w:bdr w:val="none" w:sz="0" w:space="0" w:color="auto" w:frame="1"/>
              </w:rPr>
              <w:t>Best practices published here:</w:t>
            </w:r>
          </w:p>
          <w:p w:rsidR="002B582A" w:rsidRDefault="002B582A">
            <w:pPr>
              <w:rPr>
                <w:color w:val="222222"/>
                <w:sz w:val="24"/>
                <w:szCs w:val="24"/>
              </w:rPr>
            </w:pPr>
            <w:hyperlink r:id="rId13" w:tgtFrame="_blank" w:history="1">
              <w:r>
                <w:rPr>
                  <w:rStyle w:val="Hyperlink"/>
                  <w:color w:val="6611CC"/>
                  <w:sz w:val="16"/>
                  <w:szCs w:val="16"/>
                  <w:bdr w:val="none" w:sz="0" w:space="0" w:color="auto" w:frame="1"/>
                </w:rPr>
                <w:t>http://www.qa4ecv.eu/sites/default/files/D4.2.pdf</w:t>
              </w:r>
            </w:hyperlink>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B</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T</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250</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Scale needed for regional and global climate modeling. </w:t>
            </w:r>
            <w:r>
              <w:rPr>
                <w:color w:val="FF0000"/>
                <w:sz w:val="15"/>
                <w:szCs w:val="15"/>
                <w:bdr w:val="none" w:sz="0" w:space="0" w:color="auto" w:frame="1"/>
              </w:rPr>
              <w:t>Land surface and Earth System Model evaluation of LAI is often completed at 1km spatial resolution for global assessments, so it would be useful to include these coarser resolution data.</w:t>
            </w:r>
          </w:p>
        </w:tc>
      </w:tr>
      <w:tr w:rsidR="002B582A" w:rsidTr="002B582A">
        <w:tc>
          <w:tcPr>
            <w:tcW w:w="48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Vertical Resolution</w:t>
            </w:r>
          </w:p>
        </w:tc>
        <w:tc>
          <w:tcPr>
            <w:tcW w:w="36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canopy thickness</w:t>
            </w:r>
          </w:p>
        </w:tc>
        <w:tc>
          <w:tcPr>
            <w:tcW w:w="45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 </w:t>
            </w: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5"/>
                <w:szCs w:val="15"/>
                <w:bdr w:val="none" w:sz="0" w:space="0" w:color="auto" w:frame="1"/>
              </w:rPr>
              <w:t>G</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5"/>
                <w:szCs w:val="15"/>
                <w:bdr w:val="none" w:sz="0" w:space="0" w:color="auto" w:frame="1"/>
              </w:rPr>
              <w:t> 0.1</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rFonts w:ascii="Arial" w:hAnsi="Arial" w:cs="Arial"/>
                <w:color w:val="222222"/>
                <w:sz w:val="15"/>
                <w:szCs w:val="15"/>
                <w:bdr w:val="none" w:sz="0" w:space="0" w:color="auto" w:frame="1"/>
              </w:rPr>
              <w:t> </w:t>
            </w:r>
            <w:r>
              <w:rPr>
                <w:rFonts w:ascii="Arial" w:hAnsi="Arial" w:cs="Arial"/>
                <w:color w:val="FF0000"/>
                <w:sz w:val="15"/>
                <w:szCs w:val="15"/>
                <w:bdr w:val="none" w:sz="0" w:space="0" w:color="auto" w:frame="1"/>
              </w:rPr>
              <w:t>Every 1/10th of the canopy thickness to improve evaluation of vegetation LAI within Land surface/Earth System Models</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rFonts w:ascii="Arial" w:hAnsi="Arial" w:cs="Arial"/>
                <w:color w:val="222222"/>
                <w:sz w:val="15"/>
                <w:szCs w:val="15"/>
                <w:bdr w:val="none" w:sz="0" w:space="0" w:color="auto" w:frame="1"/>
              </w:rPr>
              <w:t>B</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rFonts w:ascii="Arial" w:hAnsi="Arial" w:cs="Arial"/>
                <w:color w:val="222222"/>
                <w:sz w:val="15"/>
                <w:szCs w:val="15"/>
                <w:bdr w:val="none" w:sz="0" w:space="0" w:color="auto" w:frame="1"/>
              </w:rPr>
              <w:t> </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rFonts w:ascii="Arial" w:hAnsi="Arial" w:cs="Arial"/>
                <w:color w:val="222222"/>
                <w:sz w:val="15"/>
                <w:szCs w:val="15"/>
                <w:bdr w:val="none" w:sz="0" w:space="0" w:color="auto" w:frame="1"/>
              </w:rPr>
              <w:t> </w:t>
            </w:r>
            <w:r>
              <w:rPr>
                <w:rFonts w:ascii="Arial" w:hAnsi="Arial" w:cs="Arial"/>
                <w:color w:val="FF0000"/>
                <w:sz w:val="15"/>
                <w:szCs w:val="15"/>
                <w:bdr w:val="none" w:sz="0" w:space="0" w:color="auto" w:frame="1"/>
              </w:rPr>
              <w:t>Any specified level through the canopy</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rFonts w:ascii="Arial" w:hAnsi="Arial" w:cs="Arial"/>
                <w:color w:val="222222"/>
                <w:sz w:val="15"/>
                <w:szCs w:val="15"/>
                <w:bdr w:val="none" w:sz="0" w:space="0" w:color="auto" w:frame="1"/>
              </w:rPr>
              <w:t>T</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rFonts w:ascii="Arial" w:hAnsi="Arial" w:cs="Arial"/>
                <w:color w:val="222222"/>
                <w:sz w:val="15"/>
                <w:szCs w:val="15"/>
                <w:bdr w:val="none" w:sz="0" w:space="0" w:color="auto" w:frame="1"/>
              </w:rPr>
              <w:t> 1</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rFonts w:ascii="Arial" w:hAnsi="Arial" w:cs="Arial"/>
                <w:color w:val="222222"/>
                <w:sz w:val="15"/>
                <w:szCs w:val="15"/>
                <w:bdr w:val="none" w:sz="0" w:space="0" w:color="auto" w:frame="1"/>
              </w:rPr>
              <w:t> </w:t>
            </w:r>
            <w:r>
              <w:rPr>
                <w:rFonts w:ascii="Arial" w:hAnsi="Arial" w:cs="Arial"/>
                <w:color w:val="FF0000"/>
                <w:sz w:val="15"/>
                <w:szCs w:val="15"/>
                <w:bdr w:val="none" w:sz="0" w:space="0" w:color="auto" w:frame="1"/>
              </w:rPr>
              <w:t>Canopy mean</w:t>
            </w:r>
          </w:p>
        </w:tc>
      </w:tr>
      <w:tr w:rsidR="002B582A" w:rsidTr="002B582A">
        <w:tc>
          <w:tcPr>
            <w:tcW w:w="48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Temporal Resolution</w:t>
            </w:r>
          </w:p>
        </w:tc>
        <w:tc>
          <w:tcPr>
            <w:tcW w:w="36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days</w:t>
            </w:r>
          </w:p>
        </w:tc>
        <w:tc>
          <w:tcPr>
            <w:tcW w:w="45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 </w:t>
            </w: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G</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1</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When assimilated by model, this value corresponds to the climate model temporal resolution. In order to derive a better phenology accuracy.</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B</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T</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10</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xml:space="preserve">When using for crops or </w:t>
            </w:r>
            <w:proofErr w:type="spellStart"/>
            <w:r>
              <w:rPr>
                <w:color w:val="222222"/>
                <w:sz w:val="16"/>
                <w:szCs w:val="16"/>
                <w:bdr w:val="none" w:sz="0" w:space="0" w:color="auto" w:frame="1"/>
              </w:rPr>
              <w:t>ecosytems</w:t>
            </w:r>
            <w:proofErr w:type="spellEnd"/>
            <w:r>
              <w:rPr>
                <w:color w:val="222222"/>
                <w:sz w:val="16"/>
                <w:szCs w:val="16"/>
                <w:bdr w:val="none" w:sz="0" w:space="0" w:color="auto" w:frame="1"/>
              </w:rPr>
              <w:t xml:space="preserve"> modeling, </w:t>
            </w:r>
            <w:r>
              <w:rPr>
                <w:color w:val="FF0000"/>
                <w:sz w:val="16"/>
                <w:szCs w:val="16"/>
                <w:bdr w:val="none" w:sz="0" w:space="0" w:color="auto" w:frame="1"/>
              </w:rPr>
              <w:t>or Land Surface / Earth System Model evaluation.</w:t>
            </w:r>
          </w:p>
        </w:tc>
      </w:tr>
      <w:tr w:rsidR="002B582A" w:rsidTr="002B582A">
        <w:tc>
          <w:tcPr>
            <w:tcW w:w="48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Timeliness</w:t>
            </w:r>
          </w:p>
        </w:tc>
        <w:tc>
          <w:tcPr>
            <w:tcW w:w="36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days</w:t>
            </w:r>
          </w:p>
        </w:tc>
        <w:tc>
          <w:tcPr>
            <w:tcW w:w="45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 </w:t>
            </w: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G</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1</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In order to be useful in climate change services.</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B</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T</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5 </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In order to be useful in environmental change services. </w:t>
            </w:r>
            <w:r>
              <w:rPr>
                <w:color w:val="FF0000"/>
                <w:sz w:val="16"/>
                <w:szCs w:val="16"/>
                <w:bdr w:val="none" w:sz="0" w:space="0" w:color="auto" w:frame="1"/>
              </w:rPr>
              <w:t>Can be longer (~months) for historic climate/environmental change assessments.</w:t>
            </w:r>
          </w:p>
        </w:tc>
      </w:tr>
      <w:tr w:rsidR="002B582A" w:rsidTr="002B582A">
        <w:tc>
          <w:tcPr>
            <w:tcW w:w="48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Required Measurement Uncertainty</w:t>
            </w:r>
          </w:p>
        </w:tc>
        <w:tc>
          <w:tcPr>
            <w:tcW w:w="36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m2/ m2</w:t>
            </w:r>
          </w:p>
        </w:tc>
        <w:tc>
          <w:tcPr>
            <w:tcW w:w="45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One standard deviation or error covariance matrix with associated PDF shape (functional form of estimated error distribution for the term).</w:t>
            </w: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G</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10% when values are higher than 0.5;</w:t>
            </w:r>
          </w:p>
          <w:p w:rsidR="002B582A" w:rsidRDefault="002B582A">
            <w:pPr>
              <w:rPr>
                <w:color w:val="222222"/>
                <w:sz w:val="24"/>
                <w:szCs w:val="24"/>
              </w:rPr>
            </w:pPr>
            <w:r>
              <w:rPr>
                <w:color w:val="222222"/>
                <w:sz w:val="16"/>
                <w:szCs w:val="16"/>
                <w:bdr w:val="none" w:sz="0" w:space="0" w:color="auto" w:frame="1"/>
              </w:rPr>
              <w:t>0.05 for smaller values.</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 xml:space="preserve">The goal value of uncertainties were assessed through literature review of impact of climate change on Leaf Area Index using various earth system models (see </w:t>
            </w:r>
            <w:proofErr w:type="spellStart"/>
            <w:r>
              <w:rPr>
                <w:color w:val="222222"/>
                <w:sz w:val="16"/>
                <w:szCs w:val="16"/>
                <w:bdr w:val="none" w:sz="0" w:space="0" w:color="auto" w:frame="1"/>
              </w:rPr>
              <w:t>Mahowald</w:t>
            </w:r>
            <w:proofErr w:type="spellEnd"/>
            <w:r>
              <w:rPr>
                <w:color w:val="222222"/>
                <w:sz w:val="16"/>
                <w:szCs w:val="16"/>
                <w:bdr w:val="none" w:sz="0" w:space="0" w:color="auto" w:frame="1"/>
              </w:rPr>
              <w:t>, et. al., 2016; </w:t>
            </w:r>
            <w:hyperlink r:id="rId14" w:tgtFrame="_blank" w:history="1">
              <w:r>
                <w:rPr>
                  <w:rStyle w:val="Hyperlink"/>
                  <w:color w:val="6611CC"/>
                  <w:sz w:val="16"/>
                  <w:szCs w:val="16"/>
                  <w:bdr w:val="none" w:sz="0" w:space="0" w:color="auto" w:frame="1"/>
                </w:rPr>
                <w:t>https://www.earth-syst-dynam.net/7/211/2016/</w:t>
              </w:r>
            </w:hyperlink>
            <w:r>
              <w:rPr>
                <w:color w:val="222222"/>
                <w:sz w:val="16"/>
                <w:szCs w:val="16"/>
                <w:bdr w:val="none" w:sz="0" w:space="0" w:color="auto" w:frame="1"/>
              </w:rPr>
              <w:t>)</w:t>
            </w:r>
          </w:p>
          <w:p w:rsidR="002B582A" w:rsidRDefault="002B582A">
            <w:pPr>
              <w:rPr>
                <w:color w:val="222222"/>
              </w:rPr>
            </w:pPr>
            <w:r>
              <w:rPr>
                <w:color w:val="222222"/>
                <w:sz w:val="16"/>
                <w:szCs w:val="16"/>
                <w:bdr w:val="none" w:sz="0" w:space="0" w:color="auto" w:frame="1"/>
              </w:rPr>
              <w:t> </w:t>
            </w:r>
          </w:p>
          <w:p w:rsidR="002B582A" w:rsidRDefault="002B582A">
            <w:pPr>
              <w:rPr>
                <w:color w:val="222222"/>
              </w:rPr>
            </w:pPr>
            <w:r>
              <w:rPr>
                <w:color w:val="222222"/>
                <w:sz w:val="16"/>
                <w:szCs w:val="16"/>
                <w:bdr w:val="none" w:sz="0" w:space="0" w:color="auto" w:frame="1"/>
              </w:rPr>
              <w:t xml:space="preserve">They show impact on LAI deviation at global scale using various RCP scenarios. If we take the models ensemble results, we demonstrate that the uncertainties should be less than </w:t>
            </w:r>
            <w:proofErr w:type="spellStart"/>
            <w:r>
              <w:rPr>
                <w:color w:val="222222"/>
                <w:sz w:val="16"/>
                <w:szCs w:val="16"/>
                <w:bdr w:val="none" w:sz="0" w:space="0" w:color="auto" w:frame="1"/>
              </w:rPr>
              <w:t>Delta_LAI</w:t>
            </w:r>
            <w:proofErr w:type="spellEnd"/>
            <w:r>
              <w:rPr>
                <w:color w:val="222222"/>
                <w:sz w:val="16"/>
                <w:szCs w:val="16"/>
                <w:bdr w:val="none" w:sz="0" w:space="0" w:color="auto" w:frame="1"/>
              </w:rPr>
              <w:t xml:space="preserve"> ~</w:t>
            </w:r>
            <w:r>
              <w:rPr>
                <w:b/>
                <w:bCs/>
                <w:color w:val="222222"/>
                <w:sz w:val="16"/>
                <w:szCs w:val="16"/>
                <w:bdr w:val="none" w:sz="0" w:space="0" w:color="auto" w:frame="1"/>
              </w:rPr>
              <w:t>0.20 for a 2 deg. C deviation for an annual average LAI</w:t>
            </w:r>
            <w:r>
              <w:rPr>
                <w:color w:val="222222"/>
                <w:sz w:val="16"/>
                <w:szCs w:val="16"/>
                <w:bdr w:val="none" w:sz="0" w:space="0" w:color="auto" w:frame="1"/>
              </w:rPr>
              <w:t>, that can be approximated to  ~</w:t>
            </w:r>
            <w:r>
              <w:rPr>
                <w:b/>
                <w:bCs/>
                <w:color w:val="222222"/>
                <w:sz w:val="16"/>
                <w:szCs w:val="16"/>
                <w:bdr w:val="none" w:sz="0" w:space="0" w:color="auto" w:frame="1"/>
              </w:rPr>
              <w:t>1.5</w:t>
            </w:r>
            <w:r>
              <w:rPr>
                <w:color w:val="222222"/>
                <w:sz w:val="16"/>
                <w:szCs w:val="16"/>
                <w:bdr w:val="none" w:sz="0" w:space="0" w:color="auto" w:frame="1"/>
              </w:rPr>
              <w:t>.</w:t>
            </w:r>
          </w:p>
          <w:p w:rsidR="002B582A" w:rsidRDefault="002B582A">
            <w:pPr>
              <w:rPr>
                <w:color w:val="222222"/>
                <w:sz w:val="24"/>
                <w:szCs w:val="24"/>
              </w:rPr>
            </w:pPr>
            <w:r>
              <w:rPr>
                <w:color w:val="222222"/>
                <w:sz w:val="16"/>
                <w:szCs w:val="16"/>
                <w:bdr w:val="none" w:sz="0" w:space="0" w:color="auto" w:frame="1"/>
              </w:rPr>
              <w:t>This means that the uncertainties should be smaller than </w:t>
            </w:r>
            <w:r>
              <w:rPr>
                <w:b/>
                <w:bCs/>
                <w:color w:val="222222"/>
                <w:sz w:val="16"/>
                <w:szCs w:val="16"/>
                <w:bdr w:val="none" w:sz="0" w:space="0" w:color="auto" w:frame="1"/>
              </w:rPr>
              <w:t>10% (~0.20/1.87*100.)</w:t>
            </w:r>
            <w:r>
              <w:rPr>
                <w:color w:val="222222"/>
                <w:sz w:val="16"/>
                <w:szCs w:val="16"/>
                <w:bdr w:val="none" w:sz="0" w:space="0" w:color="auto" w:frame="1"/>
              </w:rPr>
              <w:t>.</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B</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T</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20% when values are higher than 0.5;</w:t>
            </w:r>
          </w:p>
          <w:p w:rsidR="002B582A" w:rsidRDefault="002B582A">
            <w:pPr>
              <w:rPr>
                <w:color w:val="222222"/>
                <w:sz w:val="24"/>
                <w:szCs w:val="24"/>
              </w:rPr>
            </w:pPr>
            <w:r>
              <w:rPr>
                <w:color w:val="222222"/>
                <w:sz w:val="16"/>
                <w:szCs w:val="16"/>
                <w:bdr w:val="none" w:sz="0" w:space="0" w:color="auto" w:frame="1"/>
              </w:rPr>
              <w:t>0.10 for smaller values.</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 </w:t>
            </w:r>
          </w:p>
          <w:p w:rsidR="002B582A" w:rsidRDefault="002B582A">
            <w:pPr>
              <w:rPr>
                <w:color w:val="222222"/>
              </w:rPr>
            </w:pPr>
            <w:r>
              <w:rPr>
                <w:color w:val="222222"/>
                <w:sz w:val="16"/>
                <w:szCs w:val="16"/>
                <w:bdr w:val="none" w:sz="0" w:space="0" w:color="auto" w:frame="1"/>
              </w:rPr>
              <w:t xml:space="preserve">Same as above but with </w:t>
            </w:r>
            <w:proofErr w:type="spellStart"/>
            <w:r>
              <w:rPr>
                <w:color w:val="222222"/>
                <w:sz w:val="16"/>
                <w:szCs w:val="16"/>
                <w:bdr w:val="none" w:sz="0" w:space="0" w:color="auto" w:frame="1"/>
              </w:rPr>
              <w:t>Delta_LAI</w:t>
            </w:r>
            <w:proofErr w:type="spellEnd"/>
            <w:r>
              <w:rPr>
                <w:color w:val="222222"/>
                <w:sz w:val="16"/>
                <w:szCs w:val="16"/>
                <w:bdr w:val="none" w:sz="0" w:space="0" w:color="auto" w:frame="1"/>
              </w:rPr>
              <w:t xml:space="preserve"> ~</w:t>
            </w:r>
            <w:r>
              <w:rPr>
                <w:b/>
                <w:bCs/>
                <w:color w:val="222222"/>
                <w:sz w:val="16"/>
                <w:szCs w:val="16"/>
                <w:bdr w:val="none" w:sz="0" w:space="0" w:color="auto" w:frame="1"/>
              </w:rPr>
              <w:t>0.25</w:t>
            </w:r>
          </w:p>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Stability</w:t>
            </w:r>
          </w:p>
        </w:tc>
        <w:tc>
          <w:tcPr>
            <w:tcW w:w="36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 xml:space="preserve">rate of change of LAI over the available time period </w:t>
            </w:r>
            <w:r>
              <w:rPr>
                <w:color w:val="222222"/>
                <w:sz w:val="16"/>
                <w:szCs w:val="16"/>
                <w:bdr w:val="none" w:sz="0" w:space="0" w:color="auto" w:frame="1"/>
              </w:rPr>
              <w:lastRenderedPageBreak/>
              <w:t>(m2/m2 per decade)</w:t>
            </w:r>
          </w:p>
        </w:tc>
        <w:tc>
          <w:tcPr>
            <w:tcW w:w="45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lastRenderedPageBreak/>
              <w:t xml:space="preserve">A factor of uncertainties to demonstrate that the ‘error’ of the product </w:t>
            </w:r>
            <w:r>
              <w:rPr>
                <w:color w:val="222222"/>
                <w:sz w:val="16"/>
                <w:szCs w:val="16"/>
                <w:bdr w:val="none" w:sz="0" w:space="0" w:color="auto" w:frame="1"/>
              </w:rPr>
              <w:lastRenderedPageBreak/>
              <w:t>remains constant over the period, typically a decade or more (see background information).</w:t>
            </w: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lastRenderedPageBreak/>
              <w:t>G</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&lt; 3% per decade</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rFonts w:ascii="Times New Roman" w:hAnsi="Times New Roman" w:cs="Times New Roman"/>
                <w:color w:val="222222"/>
                <w:sz w:val="24"/>
                <w:szCs w:val="24"/>
              </w:rPr>
            </w:pPr>
            <w:r>
              <w:rPr>
                <w:color w:val="222222"/>
                <w:sz w:val="16"/>
                <w:szCs w:val="16"/>
                <w:bdr w:val="none" w:sz="0" w:space="0" w:color="auto" w:frame="1"/>
              </w:rPr>
              <w:t xml:space="preserve">‘The required stability is some fraction of the expected signal’ (see </w:t>
            </w:r>
            <w:proofErr w:type="spellStart"/>
            <w:r>
              <w:rPr>
                <w:color w:val="222222"/>
                <w:sz w:val="16"/>
                <w:szCs w:val="16"/>
                <w:bdr w:val="none" w:sz="0" w:space="0" w:color="auto" w:frame="1"/>
              </w:rPr>
              <w:t>Ohring</w:t>
            </w:r>
            <w:proofErr w:type="spellEnd"/>
            <w:r>
              <w:rPr>
                <w:color w:val="222222"/>
                <w:sz w:val="16"/>
                <w:szCs w:val="16"/>
                <w:bdr w:val="none" w:sz="0" w:space="0" w:color="auto" w:frame="1"/>
              </w:rPr>
              <w:t>, et. al. 2005. </w:t>
            </w:r>
            <w:hyperlink r:id="rId15" w:tgtFrame="_blank" w:history="1">
              <w:r>
                <w:rPr>
                  <w:rStyle w:val="Hyperlink"/>
                  <w:color w:val="6611CC"/>
                  <w:sz w:val="16"/>
                  <w:szCs w:val="16"/>
                  <w:bdr w:val="none" w:sz="0" w:space="0" w:color="auto" w:frame="1"/>
                </w:rPr>
                <w:t>https://journals.ametsoc.org/doi/pdf/10.1175/BAMS-86-9-1303</w:t>
              </w:r>
            </w:hyperlink>
            <w:r>
              <w:rPr>
                <w:color w:val="222222"/>
                <w:sz w:val="16"/>
                <w:szCs w:val="16"/>
                <w:bdr w:val="none" w:sz="0" w:space="0" w:color="auto" w:frame="1"/>
              </w:rPr>
              <w:t>).</w:t>
            </w:r>
          </w:p>
          <w:p w:rsidR="002B582A" w:rsidRDefault="002B582A">
            <w:pPr>
              <w:rPr>
                <w:color w:val="222222"/>
              </w:rPr>
            </w:pPr>
            <w:r>
              <w:rPr>
                <w:color w:val="222222"/>
                <w:sz w:val="16"/>
                <w:szCs w:val="16"/>
                <w:bdr w:val="none" w:sz="0" w:space="0" w:color="auto" w:frame="1"/>
              </w:rPr>
              <w:t>“It may represent a requirement on the extent to which the error of the product remains constant over a long period, typically a decade or more. It can be defined by the mean of uncertainties over a month …”.</w:t>
            </w:r>
          </w:p>
          <w:p w:rsidR="002B582A" w:rsidRDefault="002B582A">
            <w:pPr>
              <w:rPr>
                <w:color w:val="222222"/>
              </w:rPr>
            </w:pPr>
            <w:r>
              <w:rPr>
                <w:color w:val="222222"/>
                <w:sz w:val="16"/>
                <w:szCs w:val="16"/>
                <w:bdr w:val="none" w:sz="0" w:space="0" w:color="auto" w:frame="1"/>
              </w:rPr>
              <w:t>In the case that we have </w:t>
            </w:r>
            <w:r>
              <w:rPr>
                <w:color w:val="000000"/>
                <w:sz w:val="16"/>
                <w:szCs w:val="16"/>
                <w:bdr w:val="none" w:sz="0" w:space="0" w:color="auto" w:frame="1"/>
              </w:rPr>
              <w:t>data over </w:t>
            </w:r>
            <w:r>
              <w:rPr>
                <w:b/>
                <w:bCs/>
                <w:color w:val="000000"/>
                <w:sz w:val="16"/>
                <w:szCs w:val="16"/>
                <w:bdr w:val="none" w:sz="0" w:space="0" w:color="auto" w:frame="1"/>
              </w:rPr>
              <w:t>10</w:t>
            </w:r>
            <w:r>
              <w:rPr>
                <w:color w:val="FF0000"/>
                <w:sz w:val="16"/>
                <w:szCs w:val="16"/>
                <w:bdr w:val="none" w:sz="0" w:space="0" w:color="auto" w:frame="1"/>
              </w:rPr>
              <w:t> </w:t>
            </w:r>
            <w:r>
              <w:rPr>
                <w:color w:val="222222"/>
                <w:sz w:val="16"/>
                <w:szCs w:val="16"/>
                <w:bdr w:val="none" w:sz="0" w:space="0" w:color="auto" w:frame="1"/>
              </w:rPr>
              <w:t>years (= one decade)</w:t>
            </w:r>
          </w:p>
          <w:p w:rsidR="002B582A" w:rsidRDefault="002B582A">
            <w:pPr>
              <w:rPr>
                <w:color w:val="222222"/>
              </w:rPr>
            </w:pPr>
            <w:r>
              <w:rPr>
                <w:color w:val="222222"/>
                <w:sz w:val="16"/>
                <w:szCs w:val="16"/>
                <w:bdr w:val="none" w:sz="0" w:space="0" w:color="auto" w:frame="1"/>
              </w:rPr>
              <w:lastRenderedPageBreak/>
              <w:t>N=</w:t>
            </w:r>
            <w:r>
              <w:rPr>
                <w:b/>
                <w:bCs/>
                <w:color w:val="222222"/>
                <w:sz w:val="16"/>
                <w:szCs w:val="16"/>
                <w:bdr w:val="none" w:sz="0" w:space="0" w:color="auto" w:frame="1"/>
              </w:rPr>
              <w:t>10</w:t>
            </w:r>
            <w:r>
              <w:rPr>
                <w:color w:val="222222"/>
                <w:sz w:val="16"/>
                <w:szCs w:val="16"/>
                <w:bdr w:val="none" w:sz="0" w:space="0" w:color="auto" w:frame="1"/>
              </w:rPr>
              <w:t> and U=</w:t>
            </w:r>
            <w:r>
              <w:rPr>
                <w:b/>
                <w:bCs/>
                <w:color w:val="222222"/>
                <w:sz w:val="16"/>
                <w:szCs w:val="16"/>
                <w:bdr w:val="none" w:sz="0" w:space="0" w:color="auto" w:frame="1"/>
              </w:rPr>
              <w:t>10%</w:t>
            </w:r>
          </w:p>
          <w:p w:rsidR="002B582A" w:rsidRDefault="002B582A">
            <w:pPr>
              <w:rPr>
                <w:color w:val="222222"/>
              </w:rPr>
            </w:pPr>
            <w:r>
              <w:rPr>
                <w:color w:val="222222"/>
                <w:sz w:val="16"/>
                <w:szCs w:val="16"/>
                <w:bdr w:val="none" w:sz="0" w:space="0" w:color="auto" w:frame="1"/>
              </w:rPr>
              <w:t>S=</w:t>
            </w:r>
            <w:proofErr w:type="spellStart"/>
            <w:r>
              <w:rPr>
                <w:color w:val="222222"/>
                <w:sz w:val="16"/>
                <w:szCs w:val="16"/>
                <w:bdr w:val="none" w:sz="0" w:space="0" w:color="auto" w:frame="1"/>
              </w:rPr>
              <w:t>sqrt</w:t>
            </w:r>
            <w:proofErr w:type="spellEnd"/>
            <w:r>
              <w:rPr>
                <w:color w:val="222222"/>
                <w:sz w:val="16"/>
                <w:szCs w:val="16"/>
                <w:bdr w:val="none" w:sz="0" w:space="0" w:color="auto" w:frame="1"/>
              </w:rPr>
              <w:t>(sum(U^2))/N.</w:t>
            </w:r>
          </w:p>
          <w:p w:rsidR="002B582A" w:rsidRDefault="002B582A">
            <w:pPr>
              <w:rPr>
                <w:color w:val="222222"/>
              </w:rPr>
            </w:pPr>
            <w:r>
              <w:rPr>
                <w:color w:val="222222"/>
                <w:sz w:val="16"/>
                <w:szCs w:val="16"/>
                <w:bdr w:val="none" w:sz="0" w:space="0" w:color="auto" w:frame="1"/>
              </w:rPr>
              <w:t>Assuming U constant along the period</w:t>
            </w:r>
          </w:p>
          <w:p w:rsidR="002B582A" w:rsidRDefault="002B582A">
            <w:pPr>
              <w:rPr>
                <w:color w:val="222222"/>
              </w:rPr>
            </w:pPr>
            <w:r>
              <w:rPr>
                <w:color w:val="222222"/>
                <w:sz w:val="16"/>
                <w:szCs w:val="16"/>
                <w:bdr w:val="none" w:sz="0" w:space="0" w:color="auto" w:frame="1"/>
              </w:rPr>
              <w:t>It means S=SQRT(N*U^2)/N=SQRT(N)*U/N</w:t>
            </w:r>
          </w:p>
          <w:p w:rsidR="002B582A" w:rsidRDefault="002B582A">
            <w:pPr>
              <w:rPr>
                <w:color w:val="222222"/>
              </w:rPr>
            </w:pPr>
            <w:r>
              <w:rPr>
                <w:b/>
                <w:bCs/>
                <w:color w:val="222222"/>
                <w:sz w:val="16"/>
                <w:szCs w:val="16"/>
                <w:bdr w:val="none" w:sz="0" w:space="0" w:color="auto" w:frame="1"/>
              </w:rPr>
              <w:t>S=0.3*U = 0.31 * 10./100.0 = 3 %</w:t>
            </w:r>
          </w:p>
          <w:p w:rsidR="002B582A" w:rsidRDefault="002B582A">
            <w:pPr>
              <w:rPr>
                <w:color w:val="222222"/>
              </w:rPr>
            </w:pPr>
            <w:r>
              <w:rPr>
                <w:color w:val="222222"/>
                <w:sz w:val="16"/>
                <w:szCs w:val="16"/>
                <w:bdr w:val="none" w:sz="0" w:space="0" w:color="auto" w:frame="1"/>
              </w:rPr>
              <w:t>This number should be smaller than expected Leaf Area Index trend.</w:t>
            </w:r>
          </w:p>
          <w:p w:rsidR="002B582A" w:rsidRDefault="002B582A">
            <w:pPr>
              <w:rPr>
                <w:color w:val="222222"/>
              </w:rPr>
            </w:pPr>
            <w:r>
              <w:rPr>
                <w:color w:val="222222"/>
                <w:sz w:val="16"/>
                <w:szCs w:val="16"/>
                <w:bdr w:val="none" w:sz="0" w:space="0" w:color="auto" w:frame="1"/>
              </w:rPr>
              <w:t>Reference:</w:t>
            </w:r>
          </w:p>
          <w:p w:rsidR="002B582A" w:rsidRDefault="002B582A">
            <w:pPr>
              <w:rPr>
                <w:color w:val="222222"/>
              </w:rPr>
            </w:pPr>
            <w:r>
              <w:rPr>
                <w:rFonts w:ascii="Arial" w:hAnsi="Arial" w:cs="Arial"/>
                <w:color w:val="222222"/>
                <w:sz w:val="13"/>
                <w:szCs w:val="13"/>
                <w:bdr w:val="none" w:sz="0" w:space="0" w:color="auto" w:frame="1"/>
              </w:rPr>
              <w:t xml:space="preserve">C. Y. Jiang, Y. </w:t>
            </w:r>
            <w:proofErr w:type="spellStart"/>
            <w:r>
              <w:rPr>
                <w:rFonts w:ascii="Arial" w:hAnsi="Arial" w:cs="Arial"/>
                <w:color w:val="222222"/>
                <w:sz w:val="13"/>
                <w:szCs w:val="13"/>
                <w:bdr w:val="none" w:sz="0" w:space="0" w:color="auto" w:frame="1"/>
              </w:rPr>
              <w:t>Ryu</w:t>
            </w:r>
            <w:proofErr w:type="spellEnd"/>
            <w:r>
              <w:rPr>
                <w:rFonts w:ascii="Arial" w:hAnsi="Arial" w:cs="Arial"/>
                <w:color w:val="222222"/>
                <w:sz w:val="13"/>
                <w:szCs w:val="13"/>
                <w:bdr w:val="none" w:sz="0" w:space="0" w:color="auto" w:frame="1"/>
              </w:rPr>
              <w:t xml:space="preserve">, H. Fang, R. </w:t>
            </w:r>
            <w:proofErr w:type="spellStart"/>
            <w:r>
              <w:rPr>
                <w:rFonts w:ascii="Arial" w:hAnsi="Arial" w:cs="Arial"/>
                <w:color w:val="222222"/>
                <w:sz w:val="13"/>
                <w:szCs w:val="13"/>
                <w:bdr w:val="none" w:sz="0" w:space="0" w:color="auto" w:frame="1"/>
              </w:rPr>
              <w:t>Myneni</w:t>
            </w:r>
            <w:proofErr w:type="spellEnd"/>
            <w:r>
              <w:rPr>
                <w:rFonts w:ascii="Arial" w:hAnsi="Arial" w:cs="Arial"/>
                <w:color w:val="222222"/>
                <w:sz w:val="13"/>
                <w:szCs w:val="13"/>
                <w:bdr w:val="none" w:sz="0" w:space="0" w:color="auto" w:frame="1"/>
              </w:rPr>
              <w:t xml:space="preserve">, M. </w:t>
            </w:r>
            <w:proofErr w:type="spellStart"/>
            <w:r>
              <w:rPr>
                <w:rFonts w:ascii="Arial" w:hAnsi="Arial" w:cs="Arial"/>
                <w:color w:val="222222"/>
                <w:sz w:val="13"/>
                <w:szCs w:val="13"/>
                <w:bdr w:val="none" w:sz="0" w:space="0" w:color="auto" w:frame="1"/>
              </w:rPr>
              <w:t>Claverie</w:t>
            </w:r>
            <w:proofErr w:type="spellEnd"/>
            <w:r>
              <w:rPr>
                <w:rFonts w:ascii="Arial" w:hAnsi="Arial" w:cs="Arial"/>
                <w:color w:val="222222"/>
                <w:sz w:val="13"/>
                <w:szCs w:val="13"/>
                <w:bdr w:val="none" w:sz="0" w:space="0" w:color="auto" w:frame="1"/>
              </w:rPr>
              <w:t xml:space="preserve">, Z. Zhu, Inconsistencies of </w:t>
            </w:r>
            <w:proofErr w:type="spellStart"/>
            <w:r>
              <w:rPr>
                <w:rFonts w:ascii="Arial" w:hAnsi="Arial" w:cs="Arial"/>
                <w:color w:val="222222"/>
                <w:sz w:val="13"/>
                <w:szCs w:val="13"/>
                <w:bdr w:val="none" w:sz="0" w:space="0" w:color="auto" w:frame="1"/>
              </w:rPr>
              <w:t>interannual</w:t>
            </w:r>
            <w:proofErr w:type="spellEnd"/>
          </w:p>
          <w:p w:rsidR="002B582A" w:rsidRDefault="002B582A">
            <w:pPr>
              <w:rPr>
                <w:color w:val="222222"/>
              </w:rPr>
            </w:pPr>
            <w:r>
              <w:rPr>
                <w:rFonts w:ascii="Arial" w:hAnsi="Arial" w:cs="Arial"/>
                <w:color w:val="222222"/>
                <w:sz w:val="13"/>
                <w:szCs w:val="13"/>
                <w:bdr w:val="none" w:sz="0" w:space="0" w:color="auto" w:frame="1"/>
              </w:rPr>
              <w:t>variability and trends in long-term satellite leaf area index products. </w:t>
            </w:r>
            <w:r>
              <w:rPr>
                <w:rFonts w:ascii="Arial" w:hAnsi="Arial" w:cs="Arial"/>
                <w:i/>
                <w:iCs/>
                <w:color w:val="222222"/>
                <w:sz w:val="13"/>
                <w:szCs w:val="13"/>
                <w:bdr w:val="none" w:sz="0" w:space="0" w:color="auto" w:frame="1"/>
              </w:rPr>
              <w:t>Glob. Chang. Biol. </w:t>
            </w:r>
            <w:r>
              <w:rPr>
                <w:rFonts w:ascii="Arial" w:hAnsi="Arial" w:cs="Arial"/>
                <w:b/>
                <w:bCs/>
                <w:color w:val="222222"/>
                <w:sz w:val="13"/>
                <w:szCs w:val="13"/>
                <w:bdr w:val="none" w:sz="0" w:space="0" w:color="auto" w:frame="1"/>
              </w:rPr>
              <w:t>23</w:t>
            </w:r>
            <w:r>
              <w:rPr>
                <w:rFonts w:ascii="Arial" w:hAnsi="Arial" w:cs="Arial"/>
                <w:color w:val="222222"/>
                <w:sz w:val="13"/>
                <w:szCs w:val="13"/>
                <w:bdr w:val="none" w:sz="0" w:space="0" w:color="auto" w:frame="1"/>
              </w:rPr>
              <w:t>,</w:t>
            </w:r>
          </w:p>
          <w:p w:rsidR="002B582A" w:rsidRDefault="002B582A">
            <w:pPr>
              <w:rPr>
                <w:color w:val="222222"/>
              </w:rPr>
            </w:pPr>
            <w:r>
              <w:rPr>
                <w:rFonts w:ascii="Arial" w:hAnsi="Arial" w:cs="Arial"/>
                <w:color w:val="222222"/>
                <w:sz w:val="13"/>
                <w:szCs w:val="13"/>
                <w:bdr w:val="none" w:sz="0" w:space="0" w:color="auto" w:frame="1"/>
              </w:rPr>
              <w:t>4133–4146 (2017).)</w:t>
            </w:r>
          </w:p>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B</w:t>
            </w:r>
          </w:p>
        </w:tc>
        <w:tc>
          <w:tcPr>
            <w:tcW w:w="2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c>
          <w:tcPr>
            <w:tcW w:w="32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 </w:t>
            </w:r>
          </w:p>
        </w:tc>
      </w:tr>
      <w:tr w:rsidR="002B582A" w:rsidTr="002B582A">
        <w:tc>
          <w:tcPr>
            <w:tcW w:w="486" w:type="pct"/>
            <w:vMerge/>
            <w:tcBorders>
              <w:top w:val="single" w:sz="8" w:space="0" w:color="FFFFFF"/>
              <w:left w:val="single" w:sz="8" w:space="0" w:color="FFFFFF"/>
              <w:bottom w:val="nil"/>
              <w:right w:val="single" w:sz="24" w:space="0" w:color="FFFFFF"/>
            </w:tcBorders>
            <w:shd w:val="clear" w:color="auto" w:fill="FFFFFF"/>
            <w:vAlign w:val="center"/>
            <w:hideMark/>
          </w:tcPr>
          <w:p w:rsidR="002B582A" w:rsidRDefault="002B582A">
            <w:pPr>
              <w:rPr>
                <w:color w:val="222222"/>
                <w:sz w:val="24"/>
                <w:szCs w:val="24"/>
              </w:rPr>
            </w:pPr>
          </w:p>
        </w:tc>
        <w:tc>
          <w:tcPr>
            <w:tcW w:w="364"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455" w:type="pct"/>
            <w:vMerge/>
            <w:tcBorders>
              <w:top w:val="nil"/>
              <w:left w:val="nil"/>
              <w:bottom w:val="single" w:sz="8" w:space="0" w:color="FFFFFF"/>
              <w:right w:val="single" w:sz="8" w:space="0" w:color="FFFFFF"/>
            </w:tcBorders>
            <w:shd w:val="clear" w:color="auto" w:fill="FFFFFF"/>
            <w:vAlign w:val="center"/>
            <w:hideMark/>
          </w:tcPr>
          <w:p w:rsidR="002B582A" w:rsidRDefault="002B582A">
            <w:pPr>
              <w:rPr>
                <w:color w:val="222222"/>
                <w:sz w:val="24"/>
                <w:szCs w:val="24"/>
              </w:rPr>
            </w:pPr>
          </w:p>
        </w:tc>
        <w:tc>
          <w:tcPr>
            <w:tcW w:w="1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T</w:t>
            </w:r>
          </w:p>
        </w:tc>
        <w:tc>
          <w:tcPr>
            <w:tcW w:w="2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&lt; 6% per decade</w:t>
            </w:r>
          </w:p>
        </w:tc>
        <w:tc>
          <w:tcPr>
            <w:tcW w:w="32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Same as above but with threshold uncertainty.</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Standards and References</w:t>
            </w:r>
          </w:p>
        </w:tc>
        <w:tc>
          <w:tcPr>
            <w:tcW w:w="451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LENGTH OF RECORD: Threshold &gt; 20</w:t>
            </w:r>
            <w:r>
              <w:rPr>
                <w:color w:val="FF0000"/>
                <w:sz w:val="16"/>
                <w:szCs w:val="16"/>
                <w:bdr w:val="none" w:sz="0" w:space="0" w:color="auto" w:frame="1"/>
              </w:rPr>
              <w:t> </w:t>
            </w:r>
            <w:r>
              <w:rPr>
                <w:color w:val="222222"/>
                <w:sz w:val="16"/>
                <w:szCs w:val="16"/>
                <w:bdr w:val="none" w:sz="0" w:space="0" w:color="auto" w:frame="1"/>
              </w:rPr>
              <w:t>years; Goal &gt;40 years</w:t>
            </w:r>
          </w:p>
        </w:tc>
      </w:tr>
      <w:tr w:rsidR="002B582A" w:rsidTr="002B582A">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jc w:val="center"/>
              <w:rPr>
                <w:color w:val="222222"/>
                <w:sz w:val="24"/>
                <w:szCs w:val="24"/>
              </w:rPr>
            </w:pPr>
            <w:r>
              <w:rPr>
                <w:b/>
                <w:bCs/>
                <w:color w:val="FFFFFF"/>
                <w:sz w:val="16"/>
                <w:szCs w:val="16"/>
                <w:bdr w:val="none" w:sz="0" w:space="0" w:color="auto" w:frame="1"/>
              </w:rPr>
              <w:t>Adaptation and Extremes</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 </w:t>
            </w:r>
          </w:p>
        </w:tc>
        <w:tc>
          <w:tcPr>
            <w:tcW w:w="36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Relevant? (Yes/No)</w:t>
            </w:r>
          </w:p>
        </w:tc>
        <w:tc>
          <w:tcPr>
            <w:tcW w:w="45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695"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Explanation</w:t>
            </w:r>
          </w:p>
        </w:tc>
      </w:tr>
      <w:tr w:rsidR="002B582A" w:rsidTr="002B582A">
        <w:tc>
          <w:tcPr>
            <w:tcW w:w="48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3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yes</w:t>
            </w:r>
          </w:p>
        </w:tc>
        <w:tc>
          <w:tcPr>
            <w:tcW w:w="4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yes</w:t>
            </w:r>
          </w:p>
        </w:tc>
        <w:tc>
          <w:tcPr>
            <w:tcW w:w="3695"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The Leaf Area Index also indicates the state and the amount of vegetation canopies meaning that the impact on adaptation policies toward ‘</w:t>
            </w:r>
            <w:proofErr w:type="spellStart"/>
            <w:r>
              <w:rPr>
                <w:color w:val="222222"/>
                <w:sz w:val="16"/>
                <w:szCs w:val="16"/>
                <w:bdr w:val="none" w:sz="0" w:space="0" w:color="auto" w:frame="1"/>
              </w:rPr>
              <w:t>GreenCities</w:t>
            </w:r>
            <w:proofErr w:type="spellEnd"/>
            <w:r>
              <w:rPr>
                <w:color w:val="222222"/>
                <w:sz w:val="16"/>
                <w:szCs w:val="16"/>
                <w:bdr w:val="none" w:sz="0" w:space="0" w:color="auto" w:frame="1"/>
              </w:rPr>
              <w:t>’ or/and agricultural change management can be assessed.   </w:t>
            </w:r>
          </w:p>
        </w:tc>
      </w:tr>
      <w:tr w:rsidR="002B582A" w:rsidTr="002B582A">
        <w:trPr>
          <w:trHeight w:val="266"/>
        </w:trPr>
        <w:tc>
          <w:tcPr>
            <w:tcW w:w="48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2B582A" w:rsidRDefault="002B582A">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3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yes</w:t>
            </w:r>
          </w:p>
        </w:tc>
        <w:tc>
          <w:tcPr>
            <w:tcW w:w="4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jc w:val="center"/>
              <w:rPr>
                <w:color w:val="222222"/>
                <w:sz w:val="24"/>
                <w:szCs w:val="24"/>
              </w:rPr>
            </w:pPr>
            <w:r>
              <w:rPr>
                <w:color w:val="222222"/>
                <w:sz w:val="16"/>
                <w:szCs w:val="16"/>
                <w:bdr w:val="none" w:sz="0" w:space="0" w:color="auto" w:frame="1"/>
              </w:rPr>
              <w:t>yes</w:t>
            </w:r>
          </w:p>
        </w:tc>
        <w:tc>
          <w:tcPr>
            <w:tcW w:w="3695"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B582A" w:rsidRDefault="002B582A">
            <w:pPr>
              <w:rPr>
                <w:color w:val="222222"/>
                <w:sz w:val="24"/>
                <w:szCs w:val="24"/>
              </w:rPr>
            </w:pPr>
            <w:r>
              <w:rPr>
                <w:color w:val="222222"/>
                <w:sz w:val="16"/>
                <w:szCs w:val="16"/>
                <w:bdr w:val="none" w:sz="0" w:space="0" w:color="auto" w:frame="1"/>
              </w:rPr>
              <w:t>Impact on extreme event, such as drought, can be monitor by this ECV.  </w:t>
            </w:r>
          </w:p>
        </w:tc>
      </w:tr>
    </w:tbl>
    <w:bookmarkEnd w:id="1"/>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F07CBB">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EndPr/>
              <w:sdtContent>
                <w:r w:rsidR="002B582A">
                  <w:rPr>
                    <w:sz w:val="20"/>
                    <w:szCs w:val="20"/>
                  </w:rPr>
                  <w:t>A</w:t>
                </w:r>
                <w:r w:rsidR="002B582A" w:rsidRPr="002B582A">
                  <w:rPr>
                    <w:sz w:val="20"/>
                    <w:szCs w:val="20"/>
                  </w:rPr>
                  <w:t>ndy Wiltshire</w:t>
                </w:r>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EndPr/>
              <w:sdtContent>
                <w:r w:rsidR="002B582A" w:rsidRPr="002B582A">
                  <w:rPr>
                    <w:sz w:val="20"/>
                    <w:szCs w:val="20"/>
                  </w:rPr>
                  <w:t>andy.wiltshire953@gmail.com</w:t>
                </w:r>
              </w:sdtContent>
            </w:sdt>
          </w:p>
        </w:tc>
      </w:tr>
      <w:tr w:rsidR="00345D91" w:rsidTr="0051264A">
        <w:tc>
          <w:tcPr>
            <w:tcW w:w="5000" w:type="pct"/>
            <w:gridSpan w:val="2"/>
          </w:tcPr>
          <w:p w:rsidR="00345D91" w:rsidRPr="009029F2" w:rsidRDefault="00D34E3B" w:rsidP="00F07CBB">
            <w:pPr>
              <w:rPr>
                <w:sz w:val="20"/>
                <w:szCs w:val="20"/>
              </w:rPr>
            </w:pPr>
            <w:sdt>
              <w:sdtPr>
                <w:rPr>
                  <w:sz w:val="20"/>
                  <w:szCs w:val="20"/>
                </w:rPr>
                <w:id w:val="1884671643"/>
                <w:placeholder>
                  <w:docPart w:val="E56385914738445486E36D662855BE87"/>
                </w:placeholder>
              </w:sdtPr>
              <w:sdtEndPr/>
              <w:sdtContent>
                <w:r w:rsidR="002B582A" w:rsidRPr="002B582A">
                  <w:rPr>
                    <w:sz w:val="20"/>
                    <w:szCs w:val="20"/>
                  </w:rPr>
                  <w:t xml:space="preserve">To have real value for the climate and earth system community the LAI data needs to related to the </w:t>
                </w:r>
                <w:proofErr w:type="spellStart"/>
                <w:r w:rsidR="002B582A" w:rsidRPr="002B582A">
                  <w:rPr>
                    <w:sz w:val="20"/>
                    <w:szCs w:val="20"/>
                  </w:rPr>
                  <w:t>landcover</w:t>
                </w:r>
                <w:proofErr w:type="spellEnd"/>
                <w:r w:rsidR="002B582A" w:rsidRPr="002B582A">
                  <w:rPr>
                    <w:sz w:val="20"/>
                    <w:szCs w:val="20"/>
                  </w:rPr>
                  <w:t xml:space="preserve"> class information.</w:t>
                </w:r>
              </w:sdtContent>
            </w:sdt>
          </w:p>
        </w:tc>
      </w:tr>
    </w:tbl>
    <w:p w:rsidR="00215C42" w:rsidRDefault="00215C42" w:rsidP="000768A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2B582A">
            <w:pPr>
              <w:rPr>
                <w:sz w:val="20"/>
                <w:szCs w:val="20"/>
              </w:rPr>
            </w:pPr>
            <w:r w:rsidRPr="009029F2">
              <w:rPr>
                <w:sz w:val="20"/>
                <w:szCs w:val="20"/>
              </w:rPr>
              <w:t>Author</w:t>
            </w:r>
            <w:r>
              <w:rPr>
                <w:sz w:val="20"/>
                <w:szCs w:val="20"/>
              </w:rPr>
              <w:t xml:space="preserve">: </w:t>
            </w:r>
            <w:sdt>
              <w:sdtPr>
                <w:rPr>
                  <w:sz w:val="20"/>
                  <w:szCs w:val="20"/>
                </w:rPr>
                <w:id w:val="1218860302"/>
                <w:placeholder>
                  <w:docPart w:val="B9FBBCE713B44504B17CD23607EB6C1A"/>
                </w:placeholder>
              </w:sdtPr>
              <w:sdtEndPr/>
              <w:sdtContent>
                <w:r w:rsidR="002B582A">
                  <w:rPr>
                    <w:sz w:val="20"/>
                    <w:szCs w:val="20"/>
                  </w:rPr>
                  <w:t>ECMWF</w:t>
                </w:r>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106159618"/>
                <w:placeholder>
                  <w:docPart w:val="4740CC741FA44F42B7A23DC0F9CDDD6D"/>
                </w:placeholder>
              </w:sdtPr>
              <w:sdtEndPr/>
              <w:sdtContent>
                <w:r w:rsidR="002B582A" w:rsidRPr="002B582A">
                  <w:rPr>
                    <w:sz w:val="20"/>
                    <w:szCs w:val="20"/>
                  </w:rPr>
                  <w:t>ecresgcosreqs@gmail.com</w:t>
                </w:r>
              </w:sdtContent>
            </w:sdt>
          </w:p>
        </w:tc>
      </w:tr>
      <w:tr w:rsidR="00F07CBB" w:rsidTr="009F4509">
        <w:tc>
          <w:tcPr>
            <w:tcW w:w="5000" w:type="pct"/>
            <w:gridSpan w:val="2"/>
          </w:tcPr>
          <w:sdt>
            <w:sdtPr>
              <w:rPr>
                <w:sz w:val="20"/>
                <w:szCs w:val="20"/>
              </w:rPr>
              <w:id w:val="-1260912871"/>
              <w:placeholder>
                <w:docPart w:val="DD6D779C939542179E053882FFE803B3"/>
              </w:placeholder>
            </w:sdtPr>
            <w:sdtEndPr/>
            <w:sdtContent>
              <w:p w:rsidR="002B582A" w:rsidRPr="002B582A" w:rsidRDefault="002B582A" w:rsidP="002B582A">
                <w:pPr>
                  <w:rPr>
                    <w:sz w:val="20"/>
                    <w:szCs w:val="20"/>
                  </w:rPr>
                </w:pPr>
                <w:r w:rsidRPr="002B582A">
                  <w:rPr>
                    <w:sz w:val="20"/>
                    <w:szCs w:val="20"/>
                  </w:rPr>
                  <w:t>Definition: (to add)</w:t>
                </w:r>
              </w:p>
              <w:p w:rsidR="002B582A" w:rsidRPr="002B582A" w:rsidRDefault="002B582A" w:rsidP="002B582A">
                <w:pPr>
                  <w:rPr>
                    <w:sz w:val="20"/>
                    <w:szCs w:val="20"/>
                  </w:rPr>
                </w:pPr>
                <w:r w:rsidRPr="002B582A">
                  <w:rPr>
                    <w:sz w:val="20"/>
                    <w:szCs w:val="20"/>
                  </w:rPr>
                  <w:t>Effective Leaf Area Index(</w:t>
                </w:r>
                <w:proofErr w:type="spellStart"/>
                <w:r w:rsidRPr="002B582A">
                  <w:rPr>
                    <w:sz w:val="20"/>
                    <w:szCs w:val="20"/>
                  </w:rPr>
                  <w:t>LAIeff</w:t>
                </w:r>
                <w:proofErr w:type="spellEnd"/>
                <w:r w:rsidRPr="002B582A">
                  <w:rPr>
                    <w:sz w:val="20"/>
                    <w:szCs w:val="20"/>
                  </w:rPr>
                  <w:t xml:space="preserve">): The LAI value that would produce the same indirect ground measurement as that observed assuming random foliage distribution. ( </w:t>
                </w:r>
                <w:proofErr w:type="spellStart"/>
                <w:r w:rsidRPr="002B582A">
                  <w:rPr>
                    <w:sz w:val="20"/>
                    <w:szCs w:val="20"/>
                  </w:rPr>
                  <w:t>LAIeff</w:t>
                </w:r>
                <w:proofErr w:type="spellEnd"/>
                <w:r w:rsidRPr="002B582A">
                  <w:rPr>
                    <w:sz w:val="20"/>
                    <w:szCs w:val="20"/>
                  </w:rPr>
                  <w:t>=</w:t>
                </w:r>
                <w:proofErr w:type="spellStart"/>
                <w:r w:rsidRPr="002B582A">
                  <w:rPr>
                    <w:sz w:val="20"/>
                    <w:szCs w:val="20"/>
                  </w:rPr>
                  <w:t>LAItrue</w:t>
                </w:r>
                <w:proofErr w:type="spellEnd"/>
                <w:r w:rsidRPr="002B582A">
                  <w:rPr>
                    <w:sz w:val="20"/>
                    <w:szCs w:val="20"/>
                  </w:rPr>
                  <w:t xml:space="preserve"> x canopy clumping index ) (Fang et al., 2019)</w:t>
                </w:r>
              </w:p>
              <w:p w:rsidR="002B582A" w:rsidRPr="002B582A" w:rsidRDefault="002B582A" w:rsidP="002B582A">
                <w:pPr>
                  <w:rPr>
                    <w:sz w:val="20"/>
                    <w:szCs w:val="20"/>
                  </w:rPr>
                </w:pPr>
              </w:p>
              <w:p w:rsidR="002B582A" w:rsidRPr="002B582A" w:rsidRDefault="002B582A" w:rsidP="002B582A">
                <w:pPr>
                  <w:rPr>
                    <w:sz w:val="20"/>
                    <w:szCs w:val="20"/>
                  </w:rPr>
                </w:pPr>
                <w:r w:rsidRPr="002B582A">
                  <w:rPr>
                    <w:sz w:val="20"/>
                    <w:szCs w:val="20"/>
                  </w:rPr>
                  <w:t>True Leaf  Area  Index  (</w:t>
                </w:r>
                <w:proofErr w:type="spellStart"/>
                <w:r w:rsidRPr="002B582A">
                  <w:rPr>
                    <w:sz w:val="20"/>
                    <w:szCs w:val="20"/>
                  </w:rPr>
                  <w:t>LAItrue</w:t>
                </w:r>
                <w:proofErr w:type="spellEnd"/>
                <w:r w:rsidRPr="002B582A">
                  <w:rPr>
                    <w:sz w:val="20"/>
                    <w:szCs w:val="20"/>
                  </w:rPr>
                  <w:t>) ....</w:t>
                </w:r>
              </w:p>
              <w:p w:rsidR="002B582A" w:rsidRPr="002B582A" w:rsidRDefault="002B582A" w:rsidP="002B582A">
                <w:pPr>
                  <w:rPr>
                    <w:sz w:val="20"/>
                    <w:szCs w:val="20"/>
                  </w:rPr>
                </w:pPr>
              </w:p>
              <w:p w:rsidR="002B582A" w:rsidRPr="002B582A" w:rsidRDefault="002B582A" w:rsidP="002B582A">
                <w:pPr>
                  <w:rPr>
                    <w:sz w:val="20"/>
                    <w:szCs w:val="20"/>
                  </w:rPr>
                </w:pPr>
                <w:r w:rsidRPr="002B582A">
                  <w:rPr>
                    <w:sz w:val="20"/>
                    <w:szCs w:val="20"/>
                  </w:rPr>
                  <w:t>Note: (to add): LENGTH OF RECORD: Threshold: 20 years; Target: &gt;40 years (Spatially and temporally consistent and gap filled, with provision of the related Land use/land cover background)</w:t>
                </w:r>
              </w:p>
              <w:p w:rsidR="002B582A" w:rsidRPr="002B582A" w:rsidRDefault="002B582A" w:rsidP="002B582A">
                <w:pPr>
                  <w:rPr>
                    <w:sz w:val="20"/>
                    <w:szCs w:val="20"/>
                  </w:rPr>
                </w:pPr>
              </w:p>
              <w:p w:rsidR="002B582A" w:rsidRPr="002B582A" w:rsidRDefault="002B582A" w:rsidP="002B582A">
                <w:pPr>
                  <w:rPr>
                    <w:sz w:val="20"/>
                    <w:szCs w:val="20"/>
                  </w:rPr>
                </w:pPr>
                <w:r w:rsidRPr="002B582A">
                  <w:rPr>
                    <w:sz w:val="20"/>
                    <w:szCs w:val="20"/>
                  </w:rPr>
                  <w:t>Horizontal/temporal Resolutions: 1km global spatial resolution with 10-daily (or less) temporal resolution is of crucial importance for NWP applications</w:t>
                </w:r>
              </w:p>
              <w:p w:rsidR="002B582A" w:rsidRPr="002B582A" w:rsidRDefault="002B582A" w:rsidP="002B582A">
                <w:pPr>
                  <w:rPr>
                    <w:sz w:val="20"/>
                    <w:szCs w:val="20"/>
                  </w:rPr>
                </w:pPr>
              </w:p>
              <w:p w:rsidR="002B582A" w:rsidRPr="002B582A" w:rsidRDefault="002B582A" w:rsidP="002B582A">
                <w:pPr>
                  <w:rPr>
                    <w:sz w:val="20"/>
                    <w:szCs w:val="20"/>
                  </w:rPr>
                </w:pPr>
                <w:r w:rsidRPr="002B582A">
                  <w:rPr>
                    <w:sz w:val="20"/>
                    <w:szCs w:val="20"/>
                  </w:rPr>
                  <w:lastRenderedPageBreak/>
                  <w:t>Standards and References (to add):</w:t>
                </w:r>
              </w:p>
              <w:p w:rsidR="002B582A" w:rsidRPr="002B582A" w:rsidRDefault="002B582A" w:rsidP="002B582A">
                <w:pPr>
                  <w:rPr>
                    <w:sz w:val="20"/>
                    <w:szCs w:val="20"/>
                  </w:rPr>
                </w:pPr>
              </w:p>
              <w:p w:rsidR="002B582A" w:rsidRPr="002B582A" w:rsidRDefault="002B582A" w:rsidP="002B582A">
                <w:pPr>
                  <w:rPr>
                    <w:rFonts w:hint="eastAsia"/>
                    <w:sz w:val="20"/>
                    <w:szCs w:val="20"/>
                  </w:rPr>
                </w:pPr>
                <w:r w:rsidRPr="002B582A">
                  <w:rPr>
                    <w:rFonts w:hint="eastAsia"/>
                    <w:sz w:val="20"/>
                    <w:szCs w:val="20"/>
                  </w:rPr>
                  <w:t xml:space="preserve">Fang, H., </w:t>
                </w:r>
                <w:proofErr w:type="spellStart"/>
                <w:r w:rsidRPr="002B582A">
                  <w:rPr>
                    <w:rFonts w:hint="eastAsia"/>
                    <w:sz w:val="20"/>
                    <w:szCs w:val="20"/>
                  </w:rPr>
                  <w:t>Baret</w:t>
                </w:r>
                <w:proofErr w:type="spellEnd"/>
                <w:r w:rsidRPr="002B582A">
                  <w:rPr>
                    <w:rFonts w:hint="eastAsia"/>
                    <w:sz w:val="20"/>
                    <w:szCs w:val="20"/>
                  </w:rPr>
                  <w:t xml:space="preserve">, F., Plummer, S., &amp; </w:t>
                </w:r>
                <w:proofErr w:type="spellStart"/>
                <w:r w:rsidRPr="002B582A">
                  <w:rPr>
                    <w:rFonts w:hint="eastAsia"/>
                    <w:sz w:val="20"/>
                    <w:szCs w:val="20"/>
                  </w:rPr>
                  <w:t>Schaepman</w:t>
                </w:r>
                <w:proofErr w:type="spellEnd"/>
                <w:r w:rsidRPr="002B582A">
                  <w:rPr>
                    <w:rFonts w:hint="eastAsia"/>
                    <w:sz w:val="20"/>
                    <w:szCs w:val="20"/>
                  </w:rPr>
                  <w:t>‐</w:t>
                </w:r>
                <w:proofErr w:type="spellStart"/>
                <w:r w:rsidRPr="002B582A">
                  <w:rPr>
                    <w:rFonts w:hint="eastAsia"/>
                    <w:sz w:val="20"/>
                    <w:szCs w:val="20"/>
                  </w:rPr>
                  <w:t>Strub</w:t>
                </w:r>
                <w:proofErr w:type="spellEnd"/>
                <w:r w:rsidRPr="002B582A">
                  <w:rPr>
                    <w:rFonts w:hint="eastAsia"/>
                    <w:sz w:val="20"/>
                    <w:szCs w:val="20"/>
                  </w:rPr>
                  <w:t>, G. ( 2019). An overview of global leaf area index (LAI): Methods, products, validation, and applications. Reviews of Geophysics. 57, 739</w:t>
                </w:r>
                <w:r w:rsidRPr="002B582A">
                  <w:rPr>
                    <w:rFonts w:hint="eastAsia"/>
                    <w:sz w:val="20"/>
                    <w:szCs w:val="20"/>
                  </w:rPr>
                  <w:t>–</w:t>
                </w:r>
                <w:r w:rsidRPr="002B582A">
                  <w:rPr>
                    <w:rFonts w:hint="eastAsia"/>
                    <w:sz w:val="20"/>
                    <w:szCs w:val="20"/>
                  </w:rPr>
                  <w:t xml:space="preserve"> 799. https://doi.org/10.1029/2018RG000608</w:t>
                </w:r>
              </w:p>
              <w:p w:rsidR="002B582A" w:rsidRPr="002B582A" w:rsidRDefault="002B582A" w:rsidP="002B582A">
                <w:pPr>
                  <w:rPr>
                    <w:sz w:val="20"/>
                    <w:szCs w:val="20"/>
                  </w:rPr>
                </w:pPr>
              </w:p>
              <w:p w:rsidR="002B582A" w:rsidRPr="002B582A" w:rsidRDefault="002B582A" w:rsidP="002B582A">
                <w:pPr>
                  <w:rPr>
                    <w:sz w:val="20"/>
                    <w:szCs w:val="20"/>
                  </w:rPr>
                </w:pPr>
                <w:proofErr w:type="spellStart"/>
                <w:r w:rsidRPr="002B582A">
                  <w:rPr>
                    <w:sz w:val="20"/>
                    <w:szCs w:val="20"/>
                  </w:rPr>
                  <w:t>Boussetta</w:t>
                </w:r>
                <w:proofErr w:type="spellEnd"/>
                <w:r w:rsidRPr="002B582A">
                  <w:rPr>
                    <w:sz w:val="20"/>
                    <w:szCs w:val="20"/>
                  </w:rPr>
                  <w:t xml:space="preserve"> S., Balsamo G., Dutra E., </w:t>
                </w:r>
                <w:proofErr w:type="spellStart"/>
                <w:r w:rsidRPr="002B582A">
                  <w:rPr>
                    <w:sz w:val="20"/>
                    <w:szCs w:val="20"/>
                  </w:rPr>
                  <w:t>Beljaars</w:t>
                </w:r>
                <w:proofErr w:type="spellEnd"/>
                <w:r w:rsidRPr="002B582A">
                  <w:rPr>
                    <w:sz w:val="20"/>
                    <w:szCs w:val="20"/>
                  </w:rPr>
                  <w:t xml:space="preserve"> A., </w:t>
                </w:r>
                <w:proofErr w:type="spellStart"/>
                <w:r w:rsidRPr="002B582A">
                  <w:rPr>
                    <w:sz w:val="20"/>
                    <w:szCs w:val="20"/>
                  </w:rPr>
                  <w:t>Albergel</w:t>
                </w:r>
                <w:proofErr w:type="spellEnd"/>
                <w:r w:rsidRPr="002B582A">
                  <w:rPr>
                    <w:sz w:val="20"/>
                    <w:szCs w:val="20"/>
                  </w:rPr>
                  <w:t xml:space="preserve"> C. (2015) Assimilation of surface albedo and vegetation states from satellite observations and their impact on numerical weather prediction, Remote Sensing of Environment, pp. 111-126. DOI:10.1016/j.rse.2015.03.009</w:t>
                </w:r>
              </w:p>
              <w:p w:rsidR="002B582A" w:rsidRPr="002B582A" w:rsidRDefault="002B582A" w:rsidP="002B582A">
                <w:pPr>
                  <w:rPr>
                    <w:sz w:val="20"/>
                    <w:szCs w:val="20"/>
                  </w:rPr>
                </w:pPr>
              </w:p>
              <w:p w:rsidR="002B582A" w:rsidRPr="002B582A" w:rsidRDefault="002B582A" w:rsidP="002B582A">
                <w:pPr>
                  <w:rPr>
                    <w:sz w:val="20"/>
                    <w:szCs w:val="20"/>
                  </w:rPr>
                </w:pPr>
                <w:r w:rsidRPr="002B582A">
                  <w:rPr>
                    <w:sz w:val="20"/>
                    <w:szCs w:val="20"/>
                  </w:rPr>
                  <w:t xml:space="preserve">Adaptation[2]: (add a reference to the </w:t>
                </w:r>
                <w:proofErr w:type="spellStart"/>
                <w:r w:rsidRPr="002B582A">
                  <w:rPr>
                    <w:sz w:val="20"/>
                    <w:szCs w:val="20"/>
                  </w:rPr>
                  <w:t>ImagineS</w:t>
                </w:r>
                <w:proofErr w:type="spellEnd"/>
                <w:r w:rsidRPr="002B582A">
                  <w:rPr>
                    <w:sz w:val="20"/>
                    <w:szCs w:val="20"/>
                  </w:rPr>
                  <w:t xml:space="preserve"> EU project: http://fp7-imagines.eu/)</w:t>
                </w:r>
              </w:p>
              <w:p w:rsidR="002B582A" w:rsidRPr="002B582A" w:rsidRDefault="002B582A" w:rsidP="002B582A">
                <w:pPr>
                  <w:rPr>
                    <w:sz w:val="20"/>
                    <w:szCs w:val="20"/>
                  </w:rPr>
                </w:pPr>
              </w:p>
              <w:p w:rsidR="002B582A" w:rsidRPr="002B582A" w:rsidRDefault="002B582A" w:rsidP="002B582A">
                <w:pPr>
                  <w:rPr>
                    <w:sz w:val="20"/>
                    <w:szCs w:val="20"/>
                  </w:rPr>
                </w:pPr>
                <w:r w:rsidRPr="002B582A">
                  <w:rPr>
                    <w:sz w:val="20"/>
                    <w:szCs w:val="20"/>
                  </w:rPr>
                  <w:t xml:space="preserve">Extremes[3]: (add a reference to </w:t>
                </w:r>
                <w:proofErr w:type="spellStart"/>
                <w:r w:rsidRPr="002B582A">
                  <w:rPr>
                    <w:sz w:val="20"/>
                    <w:szCs w:val="20"/>
                  </w:rPr>
                  <w:t>Boussetta</w:t>
                </w:r>
                <w:proofErr w:type="spellEnd"/>
                <w:r w:rsidRPr="002B582A">
                  <w:rPr>
                    <w:sz w:val="20"/>
                    <w:szCs w:val="20"/>
                  </w:rPr>
                  <w:t xml:space="preserve"> el al., 2015 )</w:t>
                </w:r>
              </w:p>
              <w:p w:rsidR="00F07CBB" w:rsidRPr="009029F2" w:rsidRDefault="00D34E3B" w:rsidP="009F4509">
                <w:pPr>
                  <w:rPr>
                    <w:sz w:val="20"/>
                    <w:szCs w:val="20"/>
                  </w:rPr>
                </w:pPr>
              </w:p>
            </w:sdtContent>
          </w:sdt>
        </w:tc>
      </w:tr>
    </w:tbl>
    <w:p w:rsidR="00B53A9D" w:rsidRPr="00215C42" w:rsidRDefault="00B53A9D" w:rsidP="00B53A9D">
      <w:pPr>
        <w:pStyle w:val="Heading3"/>
      </w:pPr>
      <w:r>
        <w:lastRenderedPageBreak/>
        <w:t>Comment 4</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2B582A">
            <w:pPr>
              <w:rPr>
                <w:sz w:val="20"/>
                <w:szCs w:val="20"/>
              </w:rPr>
            </w:pPr>
            <w:r w:rsidRPr="009029F2">
              <w:rPr>
                <w:sz w:val="20"/>
                <w:szCs w:val="20"/>
              </w:rPr>
              <w:t>Author</w:t>
            </w:r>
            <w:r>
              <w:rPr>
                <w:sz w:val="20"/>
                <w:szCs w:val="20"/>
              </w:rPr>
              <w:t xml:space="preserve">: </w:t>
            </w:r>
            <w:sdt>
              <w:sdtPr>
                <w:rPr>
                  <w:sz w:val="20"/>
                  <w:szCs w:val="20"/>
                </w:rPr>
                <w:id w:val="-471906871"/>
                <w:placeholder>
                  <w:docPart w:val="D95AFB0AC0DA40E4874638EFA1173814"/>
                </w:placeholder>
              </w:sdtPr>
              <w:sdtEndPr/>
              <w:sdtContent>
                <w:proofErr w:type="spellStart"/>
                <w:r w:rsidR="002B582A">
                  <w:rPr>
                    <w:sz w:val="20"/>
                    <w:szCs w:val="20"/>
                  </w:rPr>
                  <w:t>Nic</w:t>
                </w:r>
                <w:proofErr w:type="spellEnd"/>
                <w:r w:rsidR="002B582A">
                  <w:rPr>
                    <w:sz w:val="20"/>
                    <w:szCs w:val="20"/>
                  </w:rPr>
                  <w:t xml:space="preserve"> </w:t>
                </w:r>
                <w:proofErr w:type="spellStart"/>
                <w:r w:rsidR="002B582A">
                  <w:rPr>
                    <w:sz w:val="20"/>
                    <w:szCs w:val="20"/>
                  </w:rPr>
                  <w:t>Bax</w:t>
                </w:r>
                <w:proofErr w:type="spellEnd"/>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18721111"/>
                <w:placeholder>
                  <w:docPart w:val="405FAE428B034A1F9C32842179B3D560"/>
                </w:placeholder>
              </w:sdtPr>
              <w:sdtEndPr/>
              <w:sdtContent>
                <w:r w:rsidR="002B582A" w:rsidRPr="002B582A">
                  <w:rPr>
                    <w:sz w:val="20"/>
                    <w:szCs w:val="20"/>
                  </w:rPr>
                  <w:t>nic.bax@csiro.au</w:t>
                </w:r>
              </w:sdtContent>
            </w:sdt>
          </w:p>
        </w:tc>
      </w:tr>
      <w:tr w:rsidR="00F07CBB" w:rsidTr="009F4509">
        <w:tc>
          <w:tcPr>
            <w:tcW w:w="5000" w:type="pct"/>
            <w:gridSpan w:val="2"/>
          </w:tcPr>
          <w:p w:rsidR="00F07CBB" w:rsidRPr="009029F2" w:rsidRDefault="00D34E3B" w:rsidP="009F4509">
            <w:pPr>
              <w:rPr>
                <w:sz w:val="20"/>
                <w:szCs w:val="20"/>
              </w:rPr>
            </w:pPr>
            <w:sdt>
              <w:sdtPr>
                <w:rPr>
                  <w:sz w:val="20"/>
                  <w:szCs w:val="20"/>
                </w:rPr>
                <w:id w:val="-1250491479"/>
                <w:placeholder>
                  <w:docPart w:val="DD0EF0E7FF8C468A9BD63EABA8DBE20A"/>
                </w:placeholder>
              </w:sdtPr>
              <w:sdtEndPr/>
              <w:sdtContent>
                <w:r w:rsidR="002B582A" w:rsidRPr="002B582A">
                  <w:rPr>
                    <w:sz w:val="20"/>
                    <w:szCs w:val="20"/>
                  </w:rPr>
                  <w:t xml:space="preserve">This would seem to be an important point as linking this ECV with </w:t>
                </w:r>
                <w:proofErr w:type="spellStart"/>
                <w:r w:rsidR="002B582A" w:rsidRPr="002B582A">
                  <w:rPr>
                    <w:sz w:val="20"/>
                    <w:szCs w:val="20"/>
                  </w:rPr>
                  <w:t>landcover</w:t>
                </w:r>
                <w:proofErr w:type="spellEnd"/>
                <w:r w:rsidR="002B582A" w:rsidRPr="002B582A">
                  <w:rPr>
                    <w:sz w:val="20"/>
                    <w:szCs w:val="20"/>
                  </w:rPr>
                  <w:t xml:space="preserve"> would provide an idea of the quality of the different </w:t>
                </w:r>
                <w:proofErr w:type="spellStart"/>
                <w:r w:rsidR="002B582A" w:rsidRPr="002B582A">
                  <w:rPr>
                    <w:sz w:val="20"/>
                    <w:szCs w:val="20"/>
                  </w:rPr>
                  <w:t>landcover</w:t>
                </w:r>
                <w:proofErr w:type="spellEnd"/>
                <w:r w:rsidR="002B582A" w:rsidRPr="002B582A">
                  <w:rPr>
                    <w:sz w:val="20"/>
                    <w:szCs w:val="20"/>
                  </w:rPr>
                  <w:t xml:space="preserve"> </w:t>
                </w:r>
                <w:proofErr w:type="spellStart"/>
                <w:r w:rsidR="002B582A" w:rsidRPr="002B582A">
                  <w:rPr>
                    <w:sz w:val="20"/>
                    <w:szCs w:val="20"/>
                  </w:rPr>
                  <w:t>caetgories</w:t>
                </w:r>
                <w:proofErr w:type="spellEnd"/>
                <w:r w:rsidR="002B582A" w:rsidRPr="002B582A">
                  <w:rPr>
                    <w:sz w:val="20"/>
                    <w:szCs w:val="20"/>
                  </w:rPr>
                  <w:t>, crucial for adaptation work.</w:t>
                </w:r>
              </w:sdtContent>
            </w:sdt>
          </w:p>
        </w:tc>
      </w:tr>
    </w:tbl>
    <w:p w:rsidR="002B582A" w:rsidRPr="00215C42" w:rsidRDefault="002B582A" w:rsidP="002B582A">
      <w:pPr>
        <w:pStyle w:val="Heading3"/>
      </w:pPr>
      <w:r>
        <w:t xml:space="preserve">Comment </w:t>
      </w:r>
      <w:r>
        <w:t>5</w:t>
      </w:r>
    </w:p>
    <w:tbl>
      <w:tblPr>
        <w:tblStyle w:val="TableGrid"/>
        <w:tblW w:w="5000" w:type="pct"/>
        <w:tblLook w:val="04A0" w:firstRow="1" w:lastRow="0" w:firstColumn="1" w:lastColumn="0" w:noHBand="0" w:noVBand="1"/>
      </w:tblPr>
      <w:tblGrid>
        <w:gridCol w:w="5378"/>
        <w:gridCol w:w="5638"/>
      </w:tblGrid>
      <w:tr w:rsidR="002B582A" w:rsidTr="006A5DDD">
        <w:trPr>
          <w:trHeight w:val="340"/>
        </w:trPr>
        <w:tc>
          <w:tcPr>
            <w:tcW w:w="2441" w:type="pct"/>
            <w:vAlign w:val="center"/>
          </w:tcPr>
          <w:p w:rsidR="002B582A" w:rsidRPr="00215C42" w:rsidRDefault="002B582A" w:rsidP="002B582A">
            <w:pPr>
              <w:rPr>
                <w:sz w:val="20"/>
                <w:szCs w:val="20"/>
              </w:rPr>
            </w:pPr>
            <w:r w:rsidRPr="009029F2">
              <w:rPr>
                <w:sz w:val="20"/>
                <w:szCs w:val="20"/>
              </w:rPr>
              <w:t>Author</w:t>
            </w:r>
            <w:r>
              <w:rPr>
                <w:sz w:val="20"/>
                <w:szCs w:val="20"/>
              </w:rPr>
              <w:t xml:space="preserve">: </w:t>
            </w:r>
            <w:sdt>
              <w:sdtPr>
                <w:rPr>
                  <w:sz w:val="20"/>
                  <w:szCs w:val="20"/>
                </w:rPr>
                <w:id w:val="1897158258"/>
                <w:placeholder>
                  <w:docPart w:val="9B4A62DD86B0431FBA7F4CFDF917F9D8"/>
                </w:placeholder>
              </w:sdtPr>
              <w:sdtContent>
                <w:r>
                  <w:rPr>
                    <w:sz w:val="20"/>
                    <w:szCs w:val="20"/>
                  </w:rPr>
                  <w:t>Marie Weiss</w:t>
                </w:r>
              </w:sdtContent>
            </w:sdt>
          </w:p>
        </w:tc>
        <w:tc>
          <w:tcPr>
            <w:tcW w:w="2559" w:type="pct"/>
            <w:vAlign w:val="center"/>
          </w:tcPr>
          <w:p w:rsidR="002B582A" w:rsidRPr="00E80C12" w:rsidRDefault="002B582A" w:rsidP="006A5DDD">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0281324"/>
                <w:placeholder>
                  <w:docPart w:val="D804B2CE9F2E40C098BD3D019906B6E2"/>
                </w:placeholder>
              </w:sdtPr>
              <w:sdtContent>
                <w:r w:rsidRPr="002B582A">
                  <w:rPr>
                    <w:sz w:val="20"/>
                    <w:szCs w:val="20"/>
                  </w:rPr>
                  <w:t>mariewc84@gmail.com</w:t>
                </w:r>
              </w:sdtContent>
            </w:sdt>
          </w:p>
        </w:tc>
      </w:tr>
      <w:tr w:rsidR="002B582A" w:rsidTr="006A5DDD">
        <w:tc>
          <w:tcPr>
            <w:tcW w:w="5000" w:type="pct"/>
            <w:gridSpan w:val="2"/>
          </w:tcPr>
          <w:sdt>
            <w:sdtPr>
              <w:rPr>
                <w:sz w:val="20"/>
                <w:szCs w:val="20"/>
              </w:rPr>
              <w:id w:val="-37512875"/>
              <w:placeholder>
                <w:docPart w:val="9B492A4F0F54452880B004C0663F69D1"/>
              </w:placeholder>
            </w:sdtPr>
            <w:sdtContent>
              <w:p w:rsidR="002B582A" w:rsidRPr="002B582A" w:rsidRDefault="002B582A" w:rsidP="002B582A">
                <w:pPr>
                  <w:rPr>
                    <w:sz w:val="20"/>
                    <w:szCs w:val="20"/>
                  </w:rPr>
                </w:pPr>
                <w:r w:rsidRPr="002B582A">
                  <w:rPr>
                    <w:sz w:val="20"/>
                    <w:szCs w:val="20"/>
                  </w:rPr>
                  <w:t xml:space="preserve">Additional Reference: </w:t>
                </w:r>
              </w:p>
              <w:p w:rsidR="002B582A" w:rsidRPr="002B582A" w:rsidRDefault="002B582A" w:rsidP="002B582A">
                <w:pPr>
                  <w:rPr>
                    <w:sz w:val="20"/>
                    <w:szCs w:val="20"/>
                  </w:rPr>
                </w:pPr>
                <w:r w:rsidRPr="002B582A">
                  <w:rPr>
                    <w:sz w:val="20"/>
                    <w:szCs w:val="20"/>
                  </w:rPr>
                  <w:t>Best practices</w:t>
                </w:r>
              </w:p>
              <w:p w:rsidR="002B582A" w:rsidRPr="002B582A" w:rsidRDefault="002B582A" w:rsidP="002B582A">
                <w:pPr>
                  <w:rPr>
                    <w:sz w:val="20"/>
                    <w:szCs w:val="20"/>
                  </w:rPr>
                </w:pPr>
              </w:p>
              <w:p w:rsidR="002B582A" w:rsidRPr="009029F2" w:rsidRDefault="002B582A" w:rsidP="002B582A">
                <w:pPr>
                  <w:rPr>
                    <w:sz w:val="20"/>
                    <w:szCs w:val="20"/>
                  </w:rPr>
                </w:pPr>
                <w:proofErr w:type="spellStart"/>
                <w:r w:rsidRPr="002B582A">
                  <w:rPr>
                    <w:sz w:val="20"/>
                    <w:szCs w:val="20"/>
                  </w:rPr>
                  <w:t>Fernandes</w:t>
                </w:r>
                <w:proofErr w:type="spellEnd"/>
                <w:r w:rsidRPr="002B582A">
                  <w:rPr>
                    <w:sz w:val="20"/>
                    <w:szCs w:val="20"/>
                  </w:rPr>
                  <w:t xml:space="preserve">, R., Plummer, S., Nightingale, J., </w:t>
                </w:r>
                <w:proofErr w:type="spellStart"/>
                <w:r w:rsidRPr="002B582A">
                  <w:rPr>
                    <w:sz w:val="20"/>
                    <w:szCs w:val="20"/>
                  </w:rPr>
                  <w:t>Baret</w:t>
                </w:r>
                <w:proofErr w:type="spellEnd"/>
                <w:r w:rsidRPr="002B582A">
                  <w:rPr>
                    <w:sz w:val="20"/>
                    <w:szCs w:val="20"/>
                  </w:rPr>
                  <w:t xml:space="preserve">, F., Camacho, F., Fang, H., </w:t>
                </w:r>
                <w:proofErr w:type="spellStart"/>
                <w:r w:rsidRPr="002B582A">
                  <w:rPr>
                    <w:sz w:val="20"/>
                    <w:szCs w:val="20"/>
                  </w:rPr>
                  <w:t>Garrigues</w:t>
                </w:r>
                <w:proofErr w:type="spellEnd"/>
                <w:r w:rsidRPr="002B582A">
                  <w:rPr>
                    <w:sz w:val="20"/>
                    <w:szCs w:val="20"/>
                  </w:rPr>
                  <w:t xml:space="preserve">, S., </w:t>
                </w:r>
                <w:proofErr w:type="spellStart"/>
                <w:r w:rsidRPr="002B582A">
                  <w:rPr>
                    <w:sz w:val="20"/>
                    <w:szCs w:val="20"/>
                  </w:rPr>
                  <w:t>Gobron</w:t>
                </w:r>
                <w:proofErr w:type="spellEnd"/>
                <w:r w:rsidRPr="002B582A">
                  <w:rPr>
                    <w:sz w:val="20"/>
                    <w:szCs w:val="20"/>
                  </w:rPr>
                  <w:t xml:space="preserve">, N., Lang, M., </w:t>
                </w:r>
                <w:proofErr w:type="spellStart"/>
                <w:r w:rsidRPr="002B582A">
                  <w:rPr>
                    <w:sz w:val="20"/>
                    <w:szCs w:val="20"/>
                  </w:rPr>
                  <w:t>Lacaze</w:t>
                </w:r>
                <w:proofErr w:type="spellEnd"/>
                <w:r w:rsidRPr="002B582A">
                  <w:rPr>
                    <w:sz w:val="20"/>
                    <w:szCs w:val="20"/>
                  </w:rPr>
                  <w:t xml:space="preserve">, R.,   LeBlanc, S., </w:t>
                </w:r>
                <w:proofErr w:type="spellStart"/>
                <w:r w:rsidRPr="002B582A">
                  <w:rPr>
                    <w:sz w:val="20"/>
                    <w:szCs w:val="20"/>
                  </w:rPr>
                  <w:t>Meroni</w:t>
                </w:r>
                <w:proofErr w:type="spellEnd"/>
                <w:r w:rsidRPr="002B582A">
                  <w:rPr>
                    <w:sz w:val="20"/>
                    <w:szCs w:val="20"/>
                  </w:rPr>
                  <w:t xml:space="preserve">, M., Martinez, B., </w:t>
                </w:r>
                <w:proofErr w:type="spellStart"/>
                <w:r w:rsidRPr="002B582A">
                  <w:rPr>
                    <w:sz w:val="20"/>
                    <w:szCs w:val="20"/>
                  </w:rPr>
                  <w:t>Nilson</w:t>
                </w:r>
                <w:proofErr w:type="spellEnd"/>
                <w:r w:rsidRPr="002B582A">
                  <w:rPr>
                    <w:sz w:val="20"/>
                    <w:szCs w:val="20"/>
                  </w:rPr>
                  <w:t xml:space="preserve">, T., </w:t>
                </w:r>
                <w:proofErr w:type="spellStart"/>
                <w:r w:rsidRPr="002B582A">
                  <w:rPr>
                    <w:sz w:val="20"/>
                    <w:szCs w:val="20"/>
                  </w:rPr>
                  <w:t>Pinty</w:t>
                </w:r>
                <w:proofErr w:type="spellEnd"/>
                <w:r w:rsidRPr="002B582A">
                  <w:rPr>
                    <w:sz w:val="20"/>
                    <w:szCs w:val="20"/>
                  </w:rPr>
                  <w:t xml:space="preserve">, B., </w:t>
                </w:r>
                <w:proofErr w:type="spellStart"/>
                <w:r w:rsidRPr="002B582A">
                  <w:rPr>
                    <w:sz w:val="20"/>
                    <w:szCs w:val="20"/>
                  </w:rPr>
                  <w:t>Pisek</w:t>
                </w:r>
                <w:proofErr w:type="spellEnd"/>
                <w:r w:rsidRPr="002B582A">
                  <w:rPr>
                    <w:sz w:val="20"/>
                    <w:szCs w:val="20"/>
                  </w:rPr>
                  <w:t xml:space="preserve">, J., </w:t>
                </w:r>
                <w:proofErr w:type="spellStart"/>
                <w:r w:rsidRPr="002B582A">
                  <w:rPr>
                    <w:sz w:val="20"/>
                    <w:szCs w:val="20"/>
                  </w:rPr>
                  <w:t>Sonnentag</w:t>
                </w:r>
                <w:proofErr w:type="spellEnd"/>
                <w:r w:rsidRPr="002B582A">
                  <w:rPr>
                    <w:sz w:val="20"/>
                    <w:szCs w:val="20"/>
                  </w:rPr>
                  <w:t xml:space="preserve">, O., Verger, A., Welles, J., Weiss, M., &amp;   </w:t>
                </w:r>
                <w:proofErr w:type="spellStart"/>
                <w:r w:rsidRPr="002B582A">
                  <w:rPr>
                    <w:sz w:val="20"/>
                    <w:szCs w:val="20"/>
                  </w:rPr>
                  <w:t>Widlowski</w:t>
                </w:r>
                <w:proofErr w:type="spellEnd"/>
                <w:r w:rsidRPr="002B582A">
                  <w:rPr>
                    <w:sz w:val="20"/>
                    <w:szCs w:val="20"/>
                  </w:rPr>
                  <w:t xml:space="preserve">, J.L. (2014). Global Leaf Area Index Product Validation Good Practices. Version 2.0.  In G. </w:t>
                </w:r>
                <w:proofErr w:type="spellStart"/>
                <w:r w:rsidRPr="002B582A">
                  <w:rPr>
                    <w:sz w:val="20"/>
                    <w:szCs w:val="20"/>
                  </w:rPr>
                  <w:t>Schaepman-Strub</w:t>
                </w:r>
                <w:proofErr w:type="spellEnd"/>
                <w:r w:rsidRPr="002B582A">
                  <w:rPr>
                    <w:sz w:val="20"/>
                    <w:szCs w:val="20"/>
                  </w:rPr>
                  <w:t xml:space="preserve">, M.   </w:t>
                </w:r>
                <w:proofErr w:type="spellStart"/>
                <w:r w:rsidRPr="002B582A">
                  <w:rPr>
                    <w:sz w:val="20"/>
                    <w:szCs w:val="20"/>
                  </w:rPr>
                  <w:t>Román</w:t>
                </w:r>
                <w:proofErr w:type="spellEnd"/>
                <w:r w:rsidRPr="002B582A">
                  <w:rPr>
                    <w:sz w:val="20"/>
                    <w:szCs w:val="20"/>
                  </w:rPr>
                  <w:t xml:space="preserve">, &amp; J. </w:t>
                </w:r>
                <w:proofErr w:type="spellStart"/>
                <w:r w:rsidRPr="002B582A">
                  <w:rPr>
                    <w:sz w:val="20"/>
                    <w:szCs w:val="20"/>
                  </w:rPr>
                  <w:t>Nickeson</w:t>
                </w:r>
                <w:proofErr w:type="spellEnd"/>
                <w:r w:rsidRPr="002B582A">
                  <w:rPr>
                    <w:sz w:val="20"/>
                    <w:szCs w:val="20"/>
                  </w:rPr>
                  <w:t xml:space="preserve"> (Eds.), Best Practice for Satellite-Derived Land Product Validation (p. 76): Land Product Validation   Subgroup (WGCV/CEOS), doi:10.5067/doc/</w:t>
                </w:r>
                <w:proofErr w:type="spellStart"/>
                <w:r w:rsidRPr="002B582A">
                  <w:rPr>
                    <w:sz w:val="20"/>
                    <w:szCs w:val="20"/>
                  </w:rPr>
                  <w:t>ceoswgcv</w:t>
                </w:r>
                <w:proofErr w:type="spellEnd"/>
                <w:r w:rsidRPr="002B582A">
                  <w:rPr>
                    <w:sz w:val="20"/>
                    <w:szCs w:val="20"/>
                  </w:rPr>
                  <w:t>/</w:t>
                </w:r>
                <w:proofErr w:type="spellStart"/>
                <w:r w:rsidRPr="002B582A">
                  <w:rPr>
                    <w:sz w:val="20"/>
                    <w:szCs w:val="20"/>
                  </w:rPr>
                  <w:t>lpv</w:t>
                </w:r>
                <w:proofErr w:type="spellEnd"/>
                <w:r w:rsidRPr="002B582A">
                  <w:rPr>
                    <w:sz w:val="20"/>
                    <w:szCs w:val="20"/>
                  </w:rPr>
                  <w:t>/lai.002</w:t>
                </w:r>
              </w:p>
            </w:sdtContent>
          </w:sdt>
        </w:tc>
      </w:tr>
    </w:tbl>
    <w:p w:rsidR="00B53A9D" w:rsidRPr="002B582A" w:rsidRDefault="00B53A9D" w:rsidP="00B53A9D">
      <w:pPr>
        <w:pStyle w:val="WMOBodyText"/>
        <w:rPr>
          <w:lang w:val="en-US"/>
        </w:rPr>
      </w:pPr>
      <w:bookmarkStart w:id="2" w:name="_GoBack"/>
      <w:bookmarkEnd w:id="2"/>
    </w:p>
    <w:sectPr w:rsidR="00B53A9D" w:rsidRPr="002B582A"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E3B" w:rsidRDefault="00D34E3B" w:rsidP="00AC5144">
      <w:pPr>
        <w:spacing w:after="0" w:line="240" w:lineRule="auto"/>
      </w:pPr>
      <w:r>
        <w:separator/>
      </w:r>
    </w:p>
  </w:endnote>
  <w:endnote w:type="continuationSeparator" w:id="0">
    <w:p w:rsidR="00D34E3B" w:rsidRDefault="00D34E3B"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E3B" w:rsidRDefault="00D34E3B" w:rsidP="00AC5144">
      <w:pPr>
        <w:spacing w:after="0" w:line="240" w:lineRule="auto"/>
      </w:pPr>
      <w:r>
        <w:separator/>
      </w:r>
    </w:p>
  </w:footnote>
  <w:footnote w:type="continuationSeparator" w:id="0">
    <w:p w:rsidR="00D34E3B" w:rsidRDefault="00D34E3B"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2B582A"/>
    <w:rsid w:val="00345D91"/>
    <w:rsid w:val="003E2CE8"/>
    <w:rsid w:val="00414309"/>
    <w:rsid w:val="00420A05"/>
    <w:rsid w:val="005549E4"/>
    <w:rsid w:val="00581488"/>
    <w:rsid w:val="005B6CB0"/>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43327"/>
    <w:rsid w:val="00AC5144"/>
    <w:rsid w:val="00B53A9D"/>
    <w:rsid w:val="00D03D71"/>
    <w:rsid w:val="00D25A1F"/>
    <w:rsid w:val="00D34E3B"/>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034757">
      <w:bodyDiv w:val="1"/>
      <w:marLeft w:val="0"/>
      <w:marRight w:val="0"/>
      <w:marTop w:val="0"/>
      <w:marBottom w:val="0"/>
      <w:divBdr>
        <w:top w:val="none" w:sz="0" w:space="0" w:color="auto"/>
        <w:left w:val="none" w:sz="0" w:space="0" w:color="auto"/>
        <w:bottom w:val="none" w:sz="0" w:space="0" w:color="auto"/>
        <w:right w:val="none" w:sz="0" w:space="0" w:color="auto"/>
      </w:divBdr>
    </w:div>
    <w:div w:id="1983995641">
      <w:bodyDiv w:val="1"/>
      <w:marLeft w:val="0"/>
      <w:marRight w:val="0"/>
      <w:marTop w:val="0"/>
      <w:marBottom w:val="0"/>
      <w:divBdr>
        <w:top w:val="none" w:sz="0" w:space="0" w:color="auto"/>
        <w:left w:val="none" w:sz="0" w:space="0" w:color="auto"/>
        <w:bottom w:val="none" w:sz="0" w:space="0" w:color="auto"/>
        <w:right w:val="none" w:sz="0" w:space="0" w:color="auto"/>
      </w:divBdr>
      <w:divsChild>
        <w:div w:id="1854874383">
          <w:marLeft w:val="0"/>
          <w:marRight w:val="0"/>
          <w:marTop w:val="0"/>
          <w:marBottom w:val="0"/>
          <w:divBdr>
            <w:top w:val="none" w:sz="0" w:space="0" w:color="auto"/>
            <w:left w:val="none" w:sz="0" w:space="0" w:color="auto"/>
            <w:bottom w:val="none" w:sz="0" w:space="0" w:color="auto"/>
            <w:right w:val="none" w:sz="0" w:space="0" w:color="auto"/>
          </w:divBdr>
          <w:divsChild>
            <w:div w:id="227882654">
              <w:marLeft w:val="0"/>
              <w:marRight w:val="0"/>
              <w:marTop w:val="0"/>
              <w:marBottom w:val="0"/>
              <w:divBdr>
                <w:top w:val="none" w:sz="0" w:space="0" w:color="auto"/>
                <w:left w:val="none" w:sz="0" w:space="0" w:color="auto"/>
                <w:bottom w:val="none" w:sz="0" w:space="0" w:color="auto"/>
                <w:right w:val="none" w:sz="0" w:space="0" w:color="auto"/>
              </w:divBdr>
            </w:div>
            <w:div w:id="1658994201">
              <w:marLeft w:val="0"/>
              <w:marRight w:val="0"/>
              <w:marTop w:val="0"/>
              <w:marBottom w:val="0"/>
              <w:divBdr>
                <w:top w:val="none" w:sz="0" w:space="0" w:color="auto"/>
                <w:left w:val="none" w:sz="0" w:space="0" w:color="auto"/>
                <w:bottom w:val="none" w:sz="0" w:space="0" w:color="auto"/>
                <w:right w:val="none" w:sz="0" w:space="0" w:color="auto"/>
              </w:divBdr>
            </w:div>
            <w:div w:id="178298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a4ecv.eu/sites/default/files/D4.2.pdf"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tiny.cc/ecv-review"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urnals.ametsoc.org/doi/pdf/10.1175/BAMS-86-9-1303" TargetMode="External"/><Relationship Id="rId5" Type="http://schemas.openxmlformats.org/officeDocument/2006/relationships/settings" Target="settings.xml"/><Relationship Id="rId15" Type="http://schemas.openxmlformats.org/officeDocument/2006/relationships/hyperlink" Target="https://journals.ametsoc.org/doi/pdf/10.1175/BAMS-86-9-1303" TargetMode="External"/><Relationship Id="rId10" Type="http://schemas.openxmlformats.org/officeDocument/2006/relationships/hyperlink" Target="https://www.earth-syst-dynam.net/7/211/2016/"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http://www.qa4ecv.eu/sites/default/files/D4.2.pdf" TargetMode="External"/><Relationship Id="rId14" Type="http://schemas.openxmlformats.org/officeDocument/2006/relationships/hyperlink" Target="https://www.earth-syst-dynam.net/7/211/2016/"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B9FBBCE713B44504B17CD23607EB6C1A"/>
        <w:category>
          <w:name w:val="General"/>
          <w:gallery w:val="placeholder"/>
        </w:category>
        <w:types>
          <w:type w:val="bbPlcHdr"/>
        </w:types>
        <w:behaviors>
          <w:behavior w:val="content"/>
        </w:behaviors>
        <w:guid w:val="{F942A500-E4C2-4408-81E4-FA7DED41E6CA}"/>
      </w:docPartPr>
      <w:docPartBody>
        <w:p w:rsidR="00C43782" w:rsidRDefault="00DA79DD" w:rsidP="00DA79DD">
          <w:pPr>
            <w:pStyle w:val="B9FBBCE713B44504B17CD23607EB6C1A"/>
          </w:pPr>
          <w:r w:rsidRPr="00697ACC">
            <w:rPr>
              <w:rStyle w:val="PlaceholderText"/>
            </w:rPr>
            <w:t>Click here to enter text.</w:t>
          </w:r>
        </w:p>
      </w:docPartBody>
    </w:docPart>
    <w:docPart>
      <w:docPartPr>
        <w:name w:val="4740CC741FA44F42B7A23DC0F9CDDD6D"/>
        <w:category>
          <w:name w:val="General"/>
          <w:gallery w:val="placeholder"/>
        </w:category>
        <w:types>
          <w:type w:val="bbPlcHdr"/>
        </w:types>
        <w:behaviors>
          <w:behavior w:val="content"/>
        </w:behaviors>
        <w:guid w:val="{A8042181-690E-4DE4-A2F9-75DE2A118689}"/>
      </w:docPartPr>
      <w:docPartBody>
        <w:p w:rsidR="00C43782" w:rsidRDefault="00DA79DD" w:rsidP="00DA79DD">
          <w:pPr>
            <w:pStyle w:val="4740CC741FA44F42B7A23DC0F9CDDD6D"/>
          </w:pPr>
          <w:r w:rsidRPr="00697ACC">
            <w:rPr>
              <w:rStyle w:val="PlaceholderText"/>
            </w:rPr>
            <w:t>Click here to enter text.</w:t>
          </w:r>
        </w:p>
      </w:docPartBody>
    </w:docPart>
    <w:docPart>
      <w:docPartPr>
        <w:name w:val="DD6D779C939542179E053882FFE803B3"/>
        <w:category>
          <w:name w:val="General"/>
          <w:gallery w:val="placeholder"/>
        </w:category>
        <w:types>
          <w:type w:val="bbPlcHdr"/>
        </w:types>
        <w:behaviors>
          <w:behavior w:val="content"/>
        </w:behaviors>
        <w:guid w:val="{B0F0D9E8-ECCB-4202-9614-3F55C3A29E57}"/>
      </w:docPartPr>
      <w:docPartBody>
        <w:p w:rsidR="00C43782" w:rsidRDefault="00DA79DD" w:rsidP="00DA79DD">
          <w:pPr>
            <w:pStyle w:val="DD6D779C939542179E053882FFE803B3"/>
          </w:pPr>
          <w:r w:rsidRPr="00697ACC">
            <w:rPr>
              <w:rStyle w:val="PlaceholderText"/>
            </w:rPr>
            <w:t>Click here to enter text.</w:t>
          </w:r>
        </w:p>
      </w:docPartBody>
    </w:docPart>
    <w:docPart>
      <w:docPartPr>
        <w:name w:val="D95AFB0AC0DA40E4874638EFA1173814"/>
        <w:category>
          <w:name w:val="General"/>
          <w:gallery w:val="placeholder"/>
        </w:category>
        <w:types>
          <w:type w:val="bbPlcHdr"/>
        </w:types>
        <w:behaviors>
          <w:behavior w:val="content"/>
        </w:behaviors>
        <w:guid w:val="{77FCACD5-BD0D-433C-8FEE-35609BF30A4C}"/>
      </w:docPartPr>
      <w:docPartBody>
        <w:p w:rsidR="00C43782" w:rsidRDefault="00DA79DD" w:rsidP="00DA79DD">
          <w:pPr>
            <w:pStyle w:val="D95AFB0AC0DA40E4874638EFA1173814"/>
          </w:pPr>
          <w:r w:rsidRPr="00697ACC">
            <w:rPr>
              <w:rStyle w:val="PlaceholderText"/>
            </w:rPr>
            <w:t>Click here to enter text.</w:t>
          </w:r>
        </w:p>
      </w:docPartBody>
    </w:docPart>
    <w:docPart>
      <w:docPartPr>
        <w:name w:val="405FAE428B034A1F9C32842179B3D560"/>
        <w:category>
          <w:name w:val="General"/>
          <w:gallery w:val="placeholder"/>
        </w:category>
        <w:types>
          <w:type w:val="bbPlcHdr"/>
        </w:types>
        <w:behaviors>
          <w:behavior w:val="content"/>
        </w:behaviors>
        <w:guid w:val="{80A74B19-90E7-482C-AB96-57D131561EE4}"/>
      </w:docPartPr>
      <w:docPartBody>
        <w:p w:rsidR="00C43782" w:rsidRDefault="00DA79DD" w:rsidP="00DA79DD">
          <w:pPr>
            <w:pStyle w:val="405FAE428B034A1F9C32842179B3D560"/>
          </w:pPr>
          <w:r w:rsidRPr="00697ACC">
            <w:rPr>
              <w:rStyle w:val="PlaceholderText"/>
            </w:rPr>
            <w:t>Click here to enter text.</w:t>
          </w:r>
        </w:p>
      </w:docPartBody>
    </w:docPart>
    <w:docPart>
      <w:docPartPr>
        <w:name w:val="DD0EF0E7FF8C468A9BD63EABA8DBE20A"/>
        <w:category>
          <w:name w:val="General"/>
          <w:gallery w:val="placeholder"/>
        </w:category>
        <w:types>
          <w:type w:val="bbPlcHdr"/>
        </w:types>
        <w:behaviors>
          <w:behavior w:val="content"/>
        </w:behaviors>
        <w:guid w:val="{39388D76-795F-4A86-BB5A-7C9C2D31DD4C}"/>
      </w:docPartPr>
      <w:docPartBody>
        <w:p w:rsidR="00C43782" w:rsidRDefault="00DA79DD" w:rsidP="00DA79DD">
          <w:pPr>
            <w:pStyle w:val="DD0EF0E7FF8C468A9BD63EABA8DBE20A"/>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5568C2" w:rsidRDefault="00C43782" w:rsidP="00C43782">
          <w:pPr>
            <w:pStyle w:val="0F4D3B3E6AE5476C98227AF8959EF9B0"/>
          </w:pPr>
          <w:r w:rsidRPr="00697ACC">
            <w:rPr>
              <w:rStyle w:val="PlaceholderText"/>
            </w:rPr>
            <w:t>Click here to enter text.</w:t>
          </w:r>
        </w:p>
      </w:docPartBody>
    </w:docPart>
    <w:docPart>
      <w:docPartPr>
        <w:name w:val="9B4A62DD86B0431FBA7F4CFDF917F9D8"/>
        <w:category>
          <w:name w:val="General"/>
          <w:gallery w:val="placeholder"/>
        </w:category>
        <w:types>
          <w:type w:val="bbPlcHdr"/>
        </w:types>
        <w:behaviors>
          <w:behavior w:val="content"/>
        </w:behaviors>
        <w:guid w:val="{1E835663-66CB-494C-A8CE-DDE6BA87EAD9}"/>
      </w:docPartPr>
      <w:docPartBody>
        <w:p w:rsidR="00000000" w:rsidRDefault="005568C2" w:rsidP="005568C2">
          <w:pPr>
            <w:pStyle w:val="9B4A62DD86B0431FBA7F4CFDF917F9D8"/>
          </w:pPr>
          <w:r w:rsidRPr="00697ACC">
            <w:rPr>
              <w:rStyle w:val="PlaceholderText"/>
            </w:rPr>
            <w:t>Click here to enter text.</w:t>
          </w:r>
        </w:p>
      </w:docPartBody>
    </w:docPart>
    <w:docPart>
      <w:docPartPr>
        <w:name w:val="D804B2CE9F2E40C098BD3D019906B6E2"/>
        <w:category>
          <w:name w:val="General"/>
          <w:gallery w:val="placeholder"/>
        </w:category>
        <w:types>
          <w:type w:val="bbPlcHdr"/>
        </w:types>
        <w:behaviors>
          <w:behavior w:val="content"/>
        </w:behaviors>
        <w:guid w:val="{7E14B968-EC32-41E2-ACF6-F8FCC6A04F76}"/>
      </w:docPartPr>
      <w:docPartBody>
        <w:p w:rsidR="00000000" w:rsidRDefault="005568C2" w:rsidP="005568C2">
          <w:pPr>
            <w:pStyle w:val="D804B2CE9F2E40C098BD3D019906B6E2"/>
          </w:pPr>
          <w:r w:rsidRPr="00697ACC">
            <w:rPr>
              <w:rStyle w:val="PlaceholderText"/>
            </w:rPr>
            <w:t>Click here to enter text.</w:t>
          </w:r>
        </w:p>
      </w:docPartBody>
    </w:docPart>
    <w:docPart>
      <w:docPartPr>
        <w:name w:val="9B492A4F0F54452880B004C0663F69D1"/>
        <w:category>
          <w:name w:val="General"/>
          <w:gallery w:val="placeholder"/>
        </w:category>
        <w:types>
          <w:type w:val="bbPlcHdr"/>
        </w:types>
        <w:behaviors>
          <w:behavior w:val="content"/>
        </w:behaviors>
        <w:guid w:val="{E1A33081-E82E-4AB8-A89A-79133A01F833}"/>
      </w:docPartPr>
      <w:docPartBody>
        <w:p w:rsidR="00000000" w:rsidRDefault="005568C2" w:rsidP="005568C2">
          <w:pPr>
            <w:pStyle w:val="9B492A4F0F54452880B004C0663F69D1"/>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240452"/>
    <w:rsid w:val="005568C2"/>
    <w:rsid w:val="006025E7"/>
    <w:rsid w:val="00803F39"/>
    <w:rsid w:val="008F5731"/>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68C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9B4A62DD86B0431FBA7F4CFDF917F9D8">
    <w:name w:val="9B4A62DD86B0431FBA7F4CFDF917F9D8"/>
    <w:rsid w:val="005568C2"/>
  </w:style>
  <w:style w:type="paragraph" w:customStyle="1" w:styleId="D804B2CE9F2E40C098BD3D019906B6E2">
    <w:name w:val="D804B2CE9F2E40C098BD3D019906B6E2"/>
    <w:rsid w:val="005568C2"/>
  </w:style>
  <w:style w:type="paragraph" w:customStyle="1" w:styleId="9B492A4F0F54452880B004C0663F69D1">
    <w:name w:val="9B492A4F0F54452880B004C0663F69D1"/>
    <w:rsid w:val="005568C2"/>
  </w:style>
  <w:style w:type="paragraph" w:customStyle="1" w:styleId="2DCD51AAC4E74400BAF4209AEA14A162">
    <w:name w:val="2DCD51AAC4E74400BAF4209AEA14A162"/>
    <w:rsid w:val="005568C2"/>
  </w:style>
  <w:style w:type="paragraph" w:customStyle="1" w:styleId="0880AED7BF194350954441293E8EA39D">
    <w:name w:val="0880AED7BF194350954441293E8EA39D"/>
    <w:rsid w:val="005568C2"/>
  </w:style>
  <w:style w:type="paragraph" w:customStyle="1" w:styleId="9EACA42614804DA3BB00DF3C82E75BA4">
    <w:name w:val="9EACA42614804DA3BB00DF3C82E75BA4"/>
    <w:rsid w:val="005568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68C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9B4A62DD86B0431FBA7F4CFDF917F9D8">
    <w:name w:val="9B4A62DD86B0431FBA7F4CFDF917F9D8"/>
    <w:rsid w:val="005568C2"/>
  </w:style>
  <w:style w:type="paragraph" w:customStyle="1" w:styleId="D804B2CE9F2E40C098BD3D019906B6E2">
    <w:name w:val="D804B2CE9F2E40C098BD3D019906B6E2"/>
    <w:rsid w:val="005568C2"/>
  </w:style>
  <w:style w:type="paragraph" w:customStyle="1" w:styleId="9B492A4F0F54452880B004C0663F69D1">
    <w:name w:val="9B492A4F0F54452880B004C0663F69D1"/>
    <w:rsid w:val="005568C2"/>
  </w:style>
  <w:style w:type="paragraph" w:customStyle="1" w:styleId="2DCD51AAC4E74400BAF4209AEA14A162">
    <w:name w:val="2DCD51AAC4E74400BAF4209AEA14A162"/>
    <w:rsid w:val="005568C2"/>
  </w:style>
  <w:style w:type="paragraph" w:customStyle="1" w:styleId="0880AED7BF194350954441293E8EA39D">
    <w:name w:val="0880AED7BF194350954441293E8EA39D"/>
    <w:rsid w:val="005568C2"/>
  </w:style>
  <w:style w:type="paragraph" w:customStyle="1" w:styleId="9EACA42614804DA3BB00DF3C82E75BA4">
    <w:name w:val="9EACA42614804DA3BB00DF3C82E75BA4"/>
    <w:rsid w:val="005568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7A1C63-030C-423D-AB4C-4C586DB1FC2A}">
  <ds:schemaRefs>
    <ds:schemaRef ds:uri="http://schemas.openxmlformats.org/officeDocument/2006/bibliography"/>
  </ds:schemaRefs>
</ds:datastoreItem>
</file>

<file path=customXml/itemProps2.xml><?xml version="1.0" encoding="utf-8"?>
<ds:datastoreItem xmlns:ds="http://schemas.openxmlformats.org/officeDocument/2006/customXml" ds:itemID="{DAA610B4-8782-4C0B-A2B8-AA3D0868D8B9}"/>
</file>

<file path=customXml/itemProps3.xml><?xml version="1.0" encoding="utf-8"?>
<ds:datastoreItem xmlns:ds="http://schemas.openxmlformats.org/officeDocument/2006/customXml" ds:itemID="{3BF4A645-FD9A-4981-9ADA-460BA716C96D}"/>
</file>

<file path=customXml/itemProps4.xml><?xml version="1.0" encoding="utf-8"?>
<ds:datastoreItem xmlns:ds="http://schemas.openxmlformats.org/officeDocument/2006/customXml" ds:itemID="{586AB17A-8889-48CA-9803-4A866332B8F7}"/>
</file>

<file path=docProps/app.xml><?xml version="1.0" encoding="utf-8"?>
<Properties xmlns="http://schemas.openxmlformats.org/officeDocument/2006/extended-properties" xmlns:vt="http://schemas.openxmlformats.org/officeDocument/2006/docPropsVTypes">
  <Template>Normal.dotm</Template>
  <TotalTime>0</TotalTime>
  <Pages>6</Pages>
  <Words>1960</Words>
  <Characters>10782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12717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2</cp:revision>
  <dcterms:created xsi:type="dcterms:W3CDTF">2020-03-20T11:40:00Z</dcterms:created>
  <dcterms:modified xsi:type="dcterms:W3CDTF">2020-03-20T11:40:00Z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