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Default="00AB0E5A" w:rsidP="000768AB">
      <w:pPr>
        <w:pStyle w:val="Heading1"/>
      </w:pPr>
      <w:r>
        <w:t>Marine Habitats</w:t>
      </w:r>
    </w:p>
    <w:p w:rsidR="001479C6" w:rsidRDefault="001479C6" w:rsidP="001479C6">
      <w:pPr>
        <w:pStyle w:val="Heading2"/>
      </w:pPr>
      <w:r w:rsidRPr="009029F2">
        <w:t>ECV Product:</w:t>
      </w:r>
      <w:r>
        <w:t xml:space="preserve"> </w:t>
      </w:r>
      <w:sdt>
        <w:sdtPr>
          <w:id w:val="1715920731"/>
          <w:placeholder>
            <w:docPart w:val="5BECAD19456B4FDB9F4B6B815E03327A"/>
          </w:placeholder>
        </w:sdtPr>
        <w:sdtContent>
          <w:r>
            <w:t>Relevance to Deep-Sea Ecosystems</w:t>
          </w:r>
        </w:sdtContent>
      </w:sdt>
    </w:p>
    <w:p w:rsidR="001479C6" w:rsidRPr="00215C42" w:rsidRDefault="001479C6" w:rsidP="001479C6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1479C6" w:rsidTr="00AF1E67">
        <w:trPr>
          <w:trHeight w:val="340"/>
        </w:trPr>
        <w:tc>
          <w:tcPr>
            <w:tcW w:w="2441" w:type="pct"/>
            <w:vAlign w:val="center"/>
          </w:tcPr>
          <w:p w:rsidR="001479C6" w:rsidRPr="00215C42" w:rsidRDefault="001479C6" w:rsidP="001479C6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493484484"/>
                <w:placeholder>
                  <w:docPart w:val="906E1271296542FDA607CCD3D5439F19"/>
                </w:placeholder>
              </w:sdtPr>
              <w:sdtContent>
                <w:r>
                  <w:rPr>
                    <w:sz w:val="20"/>
                    <w:szCs w:val="20"/>
                  </w:rPr>
                  <w:t>Lisa Levin</w:t>
                </w:r>
              </w:sdtContent>
            </w:sdt>
          </w:p>
        </w:tc>
        <w:tc>
          <w:tcPr>
            <w:tcW w:w="2559" w:type="pct"/>
            <w:vAlign w:val="center"/>
          </w:tcPr>
          <w:p w:rsidR="001479C6" w:rsidRPr="00E80C12" w:rsidRDefault="001479C6" w:rsidP="00AF1E67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-2044587148"/>
                <w:placeholder>
                  <w:docPart w:val="935C78FC3642490DB81661400C0899EF"/>
                </w:placeholder>
              </w:sdtPr>
              <w:sdtContent>
                <w:r w:rsidRPr="001479C6">
                  <w:rPr>
                    <w:sz w:val="20"/>
                    <w:szCs w:val="20"/>
                  </w:rPr>
                  <w:t>llevin@ucsd.edu</w:t>
                </w:r>
              </w:sdtContent>
            </w:sdt>
          </w:p>
        </w:tc>
      </w:tr>
      <w:tr w:rsidR="001479C6" w:rsidTr="00AF1E67">
        <w:tc>
          <w:tcPr>
            <w:tcW w:w="5000" w:type="pct"/>
            <w:gridSpan w:val="2"/>
          </w:tcPr>
          <w:sdt>
            <w:sdtPr>
              <w:rPr>
                <w:sz w:val="20"/>
                <w:szCs w:val="20"/>
              </w:rPr>
              <w:id w:val="-1929568861"/>
              <w:placeholder>
                <w:docPart w:val="8BD07AFBA4C2427193BAD40D10813413"/>
              </w:placeholder>
            </w:sdtPr>
            <w:sdtContent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Relevance to Deep Ocean Ecosystems.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b/>
                    <w:bCs/>
                    <w:color w:val="000000"/>
                    <w:sz w:val="20"/>
                    <w:szCs w:val="20"/>
                    <w:bdr w:val="none" w:sz="0" w:space="0" w:color="auto" w:frame="1"/>
                  </w:rPr>
                  <w:t>Marine Habitats: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 xml:space="preserve">The only biological variable listed is marine habitats.  This is an excellent variable although here habitat is defined by the structure-forming taxon.   A large fraction of the ocean is deep ocean. This realm is without mangrove, seagrass and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macroalgae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.  Hard coral is present in some places - but only on the seafloor and only on hard substrates. Most of the deep ocean floor is covered with sediment that does not have coral or necessarily large structure-forming taxa. There are also key marine habitats that could be documented by indicator taxa such as sponge gardens (presence/</w:t>
                </w:r>
                <w:bookmarkStart w:id="0" w:name="_GoBack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d</w:t>
                </w:r>
                <w:bookmarkEnd w:id="0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ensity/diversity of sponges), hydrothermal vents (presence of mussels, tubeworms,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vesicomyid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 clams, snails, shrimp), methane seeps (presence of mussels, tubeworms,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vesicomyid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 clams, bacterial mats).   In sediments the fauna is dominated by microbes and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meiofauna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 (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diversity;no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. species/unit area) or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biomass:weight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/unit area).   The pelagic realm  represents much of the habitable volume on this planet; it is also excluded here but could be characterized for microbes or for invertebrates (diversity: no. species per volume or density: counts per volume).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>The hard coral metric proposed (percent cover) is difficult to apply in the deep sea and not relevant to most areas. Presence (size/density/diversity) combined with taxonomic information could be useful - water depth would be critical accompanying information.   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b/>
                    <w:bCs/>
                    <w:color w:val="000000"/>
                    <w:sz w:val="20"/>
                    <w:szCs w:val="20"/>
                    <w:bdr w:val="none" w:sz="0" w:space="0" w:color="auto" w:frame="1"/>
                  </w:rPr>
                  <w:t>Other: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Why is marine habitat the only biological ECV or ECV category?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>Why not for example key species of economic importance whose distributions are known to be sensitive to climate change?  (e.g., Tuna) 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Why not something indicative of secondary productivity ? (biomass, density, O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  <w:vertAlign w:val="subscript"/>
                  </w:rPr>
                  <w:t>2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 consumption) 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>or metabolism costs (respiration, calcification)?  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 xml:space="preserve">I don’t think most of the biological community and very few members working on deep-ocean ecosystems have been exposed to the concept of Essential Climate Variables.    Please consider engaging the Deep Ocean Observing Strategy’s Biology and Ecology EOV panel. The panel chair is Henry </w:t>
                </w:r>
                <w:proofErr w:type="spellStart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Ruhl</w:t>
                </w:r>
                <w:proofErr w:type="spellEnd"/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 xml:space="preserve">   &lt;</w:t>
                </w:r>
                <w:hyperlink r:id="rId9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hruhl@mbari.org</w:t>
                  </w:r>
                </w:hyperlink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&gt;</w:t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br/>
                  <w:t>Lisa Levin, Scripps Institution of Oceanography (Deep Ocean Stewardship Initiative and Deep Ocean Observing Strategy)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  <w:bdr w:val="none" w:sz="0" w:space="0" w:color="auto" w:frame="1"/>
                  </w:rPr>
                  <w:t>Kirk Sato (DOSI, Friday Harbor Labs, University of Washington)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 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b/>
                    <w:bCs/>
                    <w:color w:val="222222"/>
                    <w:sz w:val="20"/>
                    <w:szCs w:val="20"/>
                    <w:bdr w:val="none" w:sz="0" w:space="0" w:color="auto" w:frame="1"/>
                  </w:rPr>
                  <w:t>Data Sources: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Ocean Biogeographic Information System (OBIS) </w:t>
                </w:r>
                <w:hyperlink r:id="rId10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www.iobis.org</w:t>
                  </w:r>
                </w:hyperlink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–  deep sea node.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b/>
                    <w:bCs/>
                    <w:color w:val="222222"/>
                    <w:sz w:val="20"/>
                    <w:szCs w:val="20"/>
                    <w:bdr w:val="none" w:sz="0" w:space="0" w:color="auto" w:frame="1"/>
                  </w:rPr>
                  <w:t>Vents and Seeps</w:t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  OBIS - ChessBase   </w:t>
                </w:r>
                <w:hyperlink r:id="rId11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https://obis.org/dataset/471a8de8-80f8-43f9-9443-88a45712feba</w:t>
                  </w:r>
                </w:hyperlink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;  ChEssBase - </w:t>
                </w:r>
                <w:hyperlink r:id="rId12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http://ipt.vliz.be/eurobis/resource?r=chessbase</w:t>
                  </w:r>
                </w:hyperlink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;   Vents - </w:t>
                </w:r>
                <w:hyperlink r:id="rId13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http://vents-data.interridge.org/</w:t>
                  </w:r>
                </w:hyperlink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b/>
                    <w:bCs/>
                    <w:color w:val="222222"/>
                    <w:sz w:val="20"/>
                    <w:szCs w:val="20"/>
                    <w:bdr w:val="none" w:sz="0" w:space="0" w:color="auto" w:frame="1"/>
                  </w:rPr>
                  <w:t>Coldwater Corals:</w:t>
                </w:r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Freiwald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A, Rogers A, Hall-Spencer J,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Guinotte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JM, Davies AJ,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Yesson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C, Martin CS,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Weatherdon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LV (2017). Global distribution of cold-water corals (version 5.0). Fifth update to the dataset in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Freiwald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et al. (2004) by UNEP-WCMC, in collaboration with Andre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Freiwald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and John </w:t>
                </w:r>
                <w:proofErr w:type="spellStart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Guinotte</w:t>
                </w:r>
                <w:proofErr w:type="spellEnd"/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. Cambridge (UK): UN Environment World Conservation Monitoring Centre. URL: </w:t>
                </w:r>
                <w:hyperlink r:id="rId14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http://data.unep-wcmc.org/datasets/3</w:t>
                  </w:r>
                </w:hyperlink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hyperlink r:id="rId15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https://deepseacoraldata.noaa.gov/</w:t>
                  </w:r>
                </w:hyperlink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The HERMES cold-water coral database. </w:t>
                </w:r>
                <w:r>
                  <w:rPr>
                    <w:i/>
                    <w:iCs/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Stratigraphy, Paleontology and Marine Geosciences Department, </w:t>
                </w:r>
                <w:proofErr w:type="spellStart"/>
                <w:r>
                  <w:rPr>
                    <w:i/>
                    <w:iCs/>
                    <w:color w:val="222222"/>
                    <w:sz w:val="20"/>
                    <w:szCs w:val="20"/>
                    <w:bdr w:val="none" w:sz="0" w:space="0" w:color="auto" w:frame="1"/>
                  </w:rPr>
                  <w:t>Univ</w:t>
                </w:r>
                <w:proofErr w:type="spellEnd"/>
                <w:r>
                  <w:rPr>
                    <w:i/>
                    <w:iCs/>
                    <w:color w:val="222222"/>
                    <w:sz w:val="20"/>
                    <w:szCs w:val="20"/>
                    <w:bdr w:val="none" w:sz="0" w:space="0" w:color="auto" w:frame="1"/>
                  </w:rPr>
                  <w:t xml:space="preserve"> Barcelona</w:t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, </w:t>
                </w:r>
                <w:r>
                  <w:rPr>
                    <w:i/>
                    <w:iCs/>
                    <w:color w:val="222222"/>
                    <w:sz w:val="20"/>
                    <w:szCs w:val="20"/>
                    <w:bdr w:val="none" w:sz="0" w:space="0" w:color="auto" w:frame="1"/>
                  </w:rPr>
                  <w:t>PANGAEA</w:t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, </w:t>
                </w:r>
                <w:hyperlink r:id="rId16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https://doi.org/10.1594/PANGAEA.728313</w:t>
                  </w:r>
                </w:hyperlink>
              </w:p>
              <w:p w:rsidR="001479C6" w:rsidRDefault="001479C6" w:rsidP="001479C6">
                <w:pPr>
                  <w:shd w:val="clear" w:color="auto" w:fill="FFFFFF"/>
                  <w:rPr>
                    <w:rFonts w:ascii="Arial" w:hAnsi="Arial" w:cs="Arial"/>
                    <w:color w:val="222222"/>
                    <w:sz w:val="20"/>
                    <w:szCs w:val="20"/>
                  </w:rPr>
                </w:pP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 </w:t>
                </w:r>
              </w:p>
              <w:p w:rsidR="001479C6" w:rsidRPr="009029F2" w:rsidRDefault="001479C6" w:rsidP="001479C6">
                <w:pPr>
                  <w:shd w:val="clear" w:color="auto" w:fill="FFFFFF"/>
                  <w:rPr>
                    <w:sz w:val="20"/>
                    <w:szCs w:val="20"/>
                  </w:rPr>
                </w:pPr>
                <w:r>
                  <w:rPr>
                    <w:b/>
                    <w:bCs/>
                    <w:color w:val="222222"/>
                    <w:sz w:val="20"/>
                    <w:szCs w:val="20"/>
                    <w:bdr w:val="none" w:sz="0" w:space="0" w:color="auto" w:frame="1"/>
                  </w:rPr>
                  <w:t>Vulnerable Marine Ecosystems</w:t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 - </w:t>
                </w:r>
                <w:hyperlink r:id="rId17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https://www.ices.dk/marine-data/data-portals/Pages/vulnerable-marine-ecosystems.aspx</w:t>
                  </w:r>
                </w:hyperlink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br/>
                </w:r>
                <w:r>
                  <w:rPr>
                    <w:b/>
                    <w:bCs/>
                    <w:color w:val="222222"/>
                    <w:sz w:val="20"/>
                    <w:szCs w:val="20"/>
                    <w:bdr w:val="none" w:sz="0" w:space="0" w:color="auto" w:frame="1"/>
                  </w:rPr>
                  <w:t>Seamounts</w:t>
                </w:r>
                <w:r>
                  <w:rPr>
                    <w:color w:val="222222"/>
                    <w:sz w:val="20"/>
                    <w:szCs w:val="20"/>
                    <w:bdr w:val="none" w:sz="0" w:space="0" w:color="auto" w:frame="1"/>
                  </w:rPr>
                  <w:t> </w:t>
                </w:r>
                <w:hyperlink r:id="rId18" w:tgtFrame="_blank" w:history="1">
                  <w:r>
                    <w:rPr>
                      <w:rStyle w:val="Hyperlink"/>
                      <w:color w:val="6611CC"/>
                      <w:sz w:val="20"/>
                      <w:szCs w:val="20"/>
                      <w:bdr w:val="none" w:sz="0" w:space="0" w:color="auto" w:frame="1"/>
                    </w:rPr>
                    <w:t>https://www.soest.hawaii.edu/wessel/smts/</w:t>
                  </w:r>
                </w:hyperlink>
              </w:p>
            </w:sdtContent>
          </w:sdt>
        </w:tc>
      </w:tr>
    </w:tbl>
    <w:p w:rsidR="001479C6" w:rsidRDefault="001479C6" w:rsidP="001479C6"/>
    <w:p w:rsidR="001479C6" w:rsidRDefault="001479C6" w:rsidP="001479C6">
      <w:r>
        <w:br w:type="page"/>
      </w:r>
    </w:p>
    <w:p w:rsidR="009029F2" w:rsidRDefault="000251F0" w:rsidP="00AB0E5A">
      <w:pPr>
        <w:pStyle w:val="Heading2"/>
      </w:pPr>
      <w:r w:rsidRPr="009029F2">
        <w:lastRenderedPageBreak/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AB0E5A" w:rsidRPr="00AB0E5A">
            <w:t>Mangrove cover and composition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194"/>
        <w:gridCol w:w="1412"/>
        <w:gridCol w:w="341"/>
        <w:gridCol w:w="1245"/>
        <w:gridCol w:w="5634"/>
      </w:tblGrid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Mangrove cover and composition                 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Extent of mangroves and species types in coastal environments (percent or ha and number of species per area). Extent measured in quadrats (e.g. 10x10m), or by pixels (e.g. 30x30m)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5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  <w:vertAlign w:val="superscript"/>
              </w:rPr>
              <w:t>[1]</w:t>
            </w:r>
          </w:p>
        </w:tc>
        <w:tc>
          <w:tcPr>
            <w:tcW w:w="56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5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Pixel/point in space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30x30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50x50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Point in time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Point in time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Areal extent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rPr>
          <w:trHeight w:val="207"/>
        </w:trPr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 cover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ind w:left="26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Requirements and approaches vary for field based and satellite mapping approaches. For in situ data collection for mangrove composition see </w:t>
            </w:r>
            <w:hyperlink r:id="rId19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https://www.daf.qld.gov.au/__data/assets/pdf_file/0006/63339/Data-collection-protocol.pdf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and </w:t>
            </w:r>
            <w:hyperlink r:id="rId20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https://www.cifor.org/publications/pdf_files/WPapers/WP86CIFOR.pdf</w:t>
              </w:r>
            </w:hyperlink>
          </w:p>
          <w:p w:rsidR="00AB0E5A" w:rsidRDefault="00AB0E5A">
            <w:pPr>
              <w:ind w:left="263"/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AB0E5A" w:rsidRDefault="00AB0E5A">
            <w:pPr>
              <w:ind w:left="263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See the EOV Specification Sheet for details and references </w:t>
            </w:r>
            <w:hyperlink r:id="rId21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https://www.goosocean.org/index.php?option=com_oe&amp;task=viewDocumentRecord&amp;docID=17514</w:t>
              </w:r>
            </w:hyperlink>
          </w:p>
        </w:tc>
      </w:tr>
      <w:tr w:rsidR="00AB0E5A" w:rsidTr="00AB0E5A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277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AB0E5A" w:rsidTr="00AB0E5A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[2]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Carbon sequestration</w:t>
            </w:r>
          </w:p>
        </w:tc>
      </w:tr>
      <w:tr w:rsidR="00AB0E5A" w:rsidTr="00AB0E5A">
        <w:trPr>
          <w:trHeight w:val="266"/>
        </w:trPr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[3]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5A" w:rsidRDefault="00AB0E5A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Changes in ocean temperatures</w:t>
            </w:r>
          </w:p>
        </w:tc>
      </w:tr>
    </w:tbl>
    <w:p w:rsidR="00AB0E5A" w:rsidRDefault="00AB0E5A" w:rsidP="00AB0E5A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AB0E5A" w:rsidRDefault="002A58D4" w:rsidP="00AB0E5A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AB0E5A" w:rsidRPr="00AB0E5A" w:rsidRDefault="00AB0E5A" w:rsidP="00AB0E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B0E5A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B0E5A" w:rsidRPr="00AB0E5A" w:rsidRDefault="00AB0E5A" w:rsidP="00AB0E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B0E5A" w:rsidRPr="00AB0E5A" w:rsidRDefault="00AB0E5A" w:rsidP="00AB0E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96d29c4d-7fe0-4a3a-ae23-7468ef4d3b98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B53A9D" w:rsidRDefault="00B53A9D" w:rsidP="00B53A9D">
      <w:pPr>
        <w:pStyle w:val="WMOBodyText"/>
      </w:pPr>
    </w:p>
    <w:p w:rsidR="00FA6679" w:rsidRDefault="00FA6679" w:rsidP="00B53A9D">
      <w:pPr>
        <w:pStyle w:val="WMOBodyText"/>
      </w:pPr>
      <w:r>
        <w:t>NO COMMENT</w:t>
      </w:r>
    </w:p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FA6679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FA6679" w:rsidRPr="00FA6679">
            <w:t>Seagrass cover (areal extent</w:t>
          </w:r>
          <w:r w:rsidR="00FA6679">
            <w:t>)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194"/>
        <w:gridCol w:w="1412"/>
        <w:gridCol w:w="341"/>
        <w:gridCol w:w="1245"/>
        <w:gridCol w:w="5634"/>
      </w:tblGrid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Seagrass cover (areal extent)     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Areal extent of suitable physical habitat (shallow sediment shelf with adequate water quality) supporting seagrass.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Seagrass areal extent is typically estimated by remote sensing, including satellite, photography from aircraft, and for smaller areas by Unoccupied Aerial vehicle (UAV), i.e., drone. Various methods of image post-processing have been used to convert imagery to seagrass habitat extent.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5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  <w:vertAlign w:val="superscript"/>
              </w:rPr>
              <w:t>[1]</w:t>
            </w:r>
          </w:p>
        </w:tc>
        <w:tc>
          <w:tcPr>
            <w:tcW w:w="56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5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Muller-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Karger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2018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250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Muller-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Karger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2018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NA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 week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Muller-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Karger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2018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 year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rPr>
          <w:trHeight w:val="207"/>
        </w:trPr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Duarte 2002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ind w:left="263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Requirements based on characteristic scales and magnitude of signal of phenomena to observe. See the EOV Specification Sheet for details and references (</w:t>
            </w:r>
            <w:hyperlink r:id="rId23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http://goosocean.org/index.php?option=com_oe&amp;task=viewDocumentRecord&amp;docID=17515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77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[2]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Seagrass and other coastal vegetation contributes to climate adaptation by storing carbon in biomass and underlying sediments. Active seagrass restoration can contribute to this storage.</w:t>
            </w:r>
          </w:p>
        </w:tc>
      </w:tr>
      <w:tr w:rsidR="00FA6679" w:rsidTr="00FA6679">
        <w:trPr>
          <w:trHeight w:val="266"/>
        </w:trPr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[3]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Yes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24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Many seagrass species currently live near their upper thermal tolerance limits so modest increases in water temperature can cause large-scale die-offs and reduced areal extent of seagrass.</w:t>
            </w:r>
          </w:p>
        </w:tc>
      </w:tr>
    </w:tbl>
    <w:p w:rsidR="00FA6679" w:rsidRDefault="00FA6679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FA6679" w:rsidRDefault="002A58D4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6" style="width:178.2pt;height:.75pt" o:hrpct="330" o:hrstd="t" o:hr="t" fillcolor="#a0a0a0" stroked="f"/>
        </w:pic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FA667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4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2" w:name="a8225710-417c-4f16-a4b8-1afe17bcd873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2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FA6679" w:rsidRDefault="00FA6679" w:rsidP="00FA6679">
      <w:pPr>
        <w:pStyle w:val="WMOBodyText"/>
      </w:pPr>
    </w:p>
    <w:p w:rsidR="00F07CBB" w:rsidRDefault="00FA6679" w:rsidP="00F07CBB">
      <w:pPr>
        <w:pStyle w:val="WMOBodyText"/>
      </w:pPr>
      <w:r>
        <w:t>NO COMMENT</w:t>
      </w:r>
    </w:p>
    <w:p w:rsidR="00F07CBB" w:rsidRDefault="00F07CBB" w:rsidP="00F07CBB">
      <w:pPr>
        <w:pStyle w:val="WMOBodyText"/>
        <w:rPr>
          <w:sz w:val="20"/>
          <w:szCs w:val="20"/>
        </w:rPr>
      </w:pPr>
    </w:p>
    <w:p w:rsidR="00F07CBB" w:rsidRDefault="00F07CBB" w:rsidP="00F07CBB">
      <w:r>
        <w:br w:type="page"/>
      </w:r>
    </w:p>
    <w:p w:rsidR="003E2CE8" w:rsidRDefault="000251F0" w:rsidP="00FA6679">
      <w:pPr>
        <w:pStyle w:val="Heading2"/>
      </w:pPr>
      <w:r w:rsidRPr="009029F2">
        <w:lastRenderedPageBreak/>
        <w:t>ECV Product:</w:t>
      </w:r>
      <w:r w:rsidR="00D03D71">
        <w:t xml:space="preserve"> </w:t>
      </w:r>
      <w:sdt>
        <w:sdtPr>
          <w:id w:val="1307518281"/>
          <w:placeholder>
            <w:docPart w:val="0F33D853C9184F02A6C7ACEC3F269683"/>
          </w:placeholder>
        </w:sdtPr>
        <w:sdtEndPr/>
        <w:sdtContent>
          <w:proofErr w:type="spellStart"/>
          <w:r w:rsidR="00FA6679" w:rsidRPr="00FA6679">
            <w:t>Macroalgal</w:t>
          </w:r>
          <w:proofErr w:type="spellEnd"/>
          <w:r w:rsidR="00FA6679" w:rsidRPr="00FA6679">
            <w:t xml:space="preserve"> canopy cover and composition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194"/>
        <w:gridCol w:w="1412"/>
        <w:gridCol w:w="341"/>
        <w:gridCol w:w="1245"/>
        <w:gridCol w:w="5634"/>
      </w:tblGrid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Macroalgal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canopy cover and composition                     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Abundance of layered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macroalgal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stands in marine coastal environments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 or number of individuals / area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Percent cover measured within quadrats (e.g., 0.5 x 0.5 m) or transects (e.g., 50 x 5 m). For large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macroalgae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such as kelps, abundance can be measured as number of individuals per area.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5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  <w:vertAlign w:val="superscript"/>
              </w:rPr>
              <w:t>[1]</w:t>
            </w:r>
          </w:p>
        </w:tc>
        <w:tc>
          <w:tcPr>
            <w:tcW w:w="56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5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point in space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0.25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250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linear extent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point in time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point in time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 cover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rPr>
          <w:trHeight w:val="207"/>
        </w:trPr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 cover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ind w:left="263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Requirements based on characteristic scales and magnitude of signal of phenomena to observe. See the EOV Specification Sheet for details and references (</w:t>
            </w:r>
            <w:hyperlink r:id="rId25" w:tgtFrame="_blank" w:history="1">
              <w:r>
                <w:rPr>
                  <w:rStyle w:val="Hyperlink"/>
                  <w:color w:val="6611CC"/>
                  <w:sz w:val="16"/>
                  <w:szCs w:val="16"/>
                  <w:bdr w:val="none" w:sz="0" w:space="0" w:color="auto" w:frame="1"/>
                </w:rPr>
                <w:t>http://goosocean.org/index.php?option=com_oe&amp;task=viewDocumentRecord&amp;docID=17515</w:t>
              </w:r>
            </w:hyperlink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)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77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[2]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Carbon sequestration through reforestation and afforestation</w:t>
            </w:r>
          </w:p>
        </w:tc>
      </w:tr>
      <w:tr w:rsidR="00FA6679" w:rsidTr="00FA6679">
        <w:trPr>
          <w:trHeight w:val="266"/>
        </w:trPr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[3]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Yes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Marine heatwaves, regime shifts</w:t>
            </w:r>
          </w:p>
        </w:tc>
      </w:tr>
    </w:tbl>
    <w:p w:rsidR="00FA6679" w:rsidRDefault="00FA6679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lastRenderedPageBreak/>
        <w:br w:type="textWrapping" w:clear="all"/>
      </w:r>
    </w:p>
    <w:p w:rsidR="00FA6679" w:rsidRDefault="002A58D4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78.2pt;height:.75pt" o:hrpct="330" o:hrstd="t" o:hr="t" fillcolor="#a0a0a0" stroked="f"/>
        </w:pic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FA667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6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3" w:name="f64e40ca-39ee-46a9-afd5-bf983b2a498d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3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FA6679" w:rsidP="003E2CE8">
      <w:r>
        <w:t>NO COMMENT</w:t>
      </w:r>
    </w:p>
    <w:p w:rsidR="003E2CE8" w:rsidRDefault="003E2CE8" w:rsidP="003E2CE8">
      <w:r>
        <w:br w:type="page"/>
      </w:r>
    </w:p>
    <w:p w:rsidR="003E2CE8" w:rsidRDefault="000251F0" w:rsidP="00FA6679">
      <w:pPr>
        <w:pStyle w:val="Heading2"/>
      </w:pPr>
      <w:r w:rsidRPr="009029F2">
        <w:lastRenderedPageBreak/>
        <w:t xml:space="preserve">ECV Product: </w:t>
      </w:r>
      <w:sdt>
        <w:sdtPr>
          <w:id w:val="506174734"/>
          <w:placeholder>
            <w:docPart w:val="DefaultPlaceholder_1082065158"/>
          </w:placeholder>
        </w:sdtPr>
        <w:sdtEndPr/>
        <w:sdtContent>
          <w:r w:rsidR="00FA6679">
            <w:t>H</w:t>
          </w:r>
          <w:r w:rsidR="00FA6679" w:rsidRPr="00FA6679">
            <w:t>ard coral cover and composition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194"/>
        <w:gridCol w:w="1412"/>
        <w:gridCol w:w="341"/>
        <w:gridCol w:w="1245"/>
        <w:gridCol w:w="5634"/>
      </w:tblGrid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Hard coral cover and composition                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Percent cover of hard coral. For composition, this is broken down by taxonomic or functional groups.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5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  <w:vertAlign w:val="superscript"/>
              </w:rPr>
              <w:t>[1]</w:t>
            </w:r>
          </w:p>
        </w:tc>
        <w:tc>
          <w:tcPr>
            <w:tcW w:w="56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57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10-100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For resolution of climate impacts, down to 10 km would be ideal; but will require development of remote sensing tools that can distinguish coral cover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Currently global coral data is analyzed at country levels (100s to 1000s of km)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or resolution of climate impacts, stratification in 10 m would be ideal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≈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single layer, global coral data is summarized in a single bin.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annual data ideal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5-10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data gaps results in 5-10 year gaps/bins for global analyses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Year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0.25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Establishment of open access integrated regional datasets would allow sub-annual access to data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Current practice requires high-effort compilations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rPr>
          <w:trHeight w:val="207"/>
        </w:trPr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spacing w:line="207" w:lineRule="atLeas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This value is estimated based on</w:t>
            </w:r>
          </w:p>
        </w:tc>
      </w:tr>
      <w:tr w:rsidR="00FA6679" w:rsidTr="00FA6679">
        <w:tc>
          <w:tcPr>
            <w:tcW w:w="54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Tr="00FA6679">
        <w:tc>
          <w:tcPr>
            <w:tcW w:w="54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FA6679" w:rsidRPr="001479C6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ind w:left="26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English, S., Wilkinson, C., and Baker, V. (1997). Survey Manual for Tropical Marine Resources. Townsville, Australia. Australian Institute of Marine Science.</w:t>
            </w:r>
          </w:p>
          <w:p w:rsidR="00FA6679" w:rsidRDefault="00FA6679">
            <w:pPr>
              <w:ind w:left="263"/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GCRMN (2018a). GCRMN Implementation and Governance Plan. International Coral Reef Initiative (ICRI).                                  </w:t>
            </w:r>
          </w:p>
          <w:p w:rsidR="00FA6679" w:rsidRDefault="00FA6679">
            <w:pPr>
              <w:ind w:left="263"/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•      GCRMN (2018b). GCRMN Technical Note. International Coral Reef Initiative (ICRI).</w:t>
            </w:r>
          </w:p>
          <w:p w:rsidR="00FA6679" w:rsidRDefault="00FA6679">
            <w:pPr>
              <w:ind w:left="263"/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•     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Obura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DO,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Aeby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G,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Amornthammarong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N,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Appeltans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W,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Bax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N, Bishop J,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Brainard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RE, Chan S, Fletcher P, Gordon TAC,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Gramer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L,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Gudka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M, Halas J,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Hendee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J, Hodgson G, Huang D,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Jankulak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M, Jones A, Kimura T, Levy J,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Miloslavich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P, Chou LM, Muller-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Karger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F,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Osuka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Samoilys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M, Simpson SD,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Tun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K and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Wongbusarakum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S (2019) Coral Reef Monitoring, Reef Assessment Technologies, and Ecosystem-Based</w:t>
            </w:r>
          </w:p>
          <w:p w:rsidR="00FA6679" w:rsidRPr="00FA6679" w:rsidRDefault="00FA6679">
            <w:pPr>
              <w:ind w:left="263"/>
              <w:rPr>
                <w:color w:val="222222"/>
                <w:sz w:val="24"/>
                <w:szCs w:val="24"/>
                <w:lang w:val="fr-FR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  <w:lang w:val="fr-CH"/>
              </w:rPr>
              <w:lastRenderedPageBreak/>
              <w:t xml:space="preserve">•      Management. Front. Mar.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  <w:lang w:val="fr-CH"/>
              </w:rPr>
              <w:t>Sci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  <w:lang w:val="fr-CH"/>
              </w:rPr>
              <w:t xml:space="preserve">. 6:580.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  <w:lang w:val="fr-CH"/>
              </w:rPr>
              <w:t>doi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  <w:lang w:val="fr-CH"/>
              </w:rPr>
              <w:t>: 10.3389/fmars.2019.00580                     </w:t>
            </w:r>
          </w:p>
        </w:tc>
      </w:tr>
      <w:tr w:rsidR="00FA6679" w:rsidTr="00FA6679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 and Extremes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77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FA6679" w:rsidTr="00FA6679"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[2]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At the moment coral cover is measured without sufficient spatial and temporal resolution, with taxonomic/trait information, to be sufficient for this. But it could be, with some additional variables as well.</w:t>
            </w:r>
          </w:p>
        </w:tc>
      </w:tr>
      <w:tr w:rsidR="00FA6679" w:rsidTr="00FA6679">
        <w:trPr>
          <w:trHeight w:val="266"/>
        </w:trPr>
        <w:tc>
          <w:tcPr>
            <w:tcW w:w="54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  <w:vertAlign w:val="superscript"/>
              </w:rPr>
              <w:t>[3]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Yes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</w:t>
            </w:r>
          </w:p>
        </w:tc>
        <w:tc>
          <w:tcPr>
            <w:tcW w:w="327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679" w:rsidRDefault="00FA667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More frequent measures before/after extreme events, and additional of some contextual variables would be needed.</w:t>
            </w:r>
          </w:p>
        </w:tc>
      </w:tr>
    </w:tbl>
    <w:p w:rsidR="00FA6679" w:rsidRDefault="00FA6679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FA6679" w:rsidRDefault="002A58D4" w:rsidP="00FA6679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8" style="width:178.2pt;height:.75pt" o:hrpct="330" o:hrstd="t" o:hr="t" fillcolor="#a0a0a0" stroked="f"/>
        </w:pic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FA6679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27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FA6679" w:rsidRPr="00FA6679" w:rsidRDefault="00FA6679" w:rsidP="00FA66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4" w:name="b143146d-d854-4b33-9fe8-a83928cafd98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4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FA6679" w:rsidP="00841F0F">
      <w:r>
        <w:t>NO COMMENT</w:t>
      </w:r>
    </w:p>
    <w:sectPr w:rsidR="00345D91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D4" w:rsidRDefault="002A58D4" w:rsidP="00AC5144">
      <w:pPr>
        <w:spacing w:after="0" w:line="240" w:lineRule="auto"/>
      </w:pPr>
      <w:r>
        <w:separator/>
      </w:r>
    </w:p>
  </w:endnote>
  <w:endnote w:type="continuationSeparator" w:id="0">
    <w:p w:rsidR="002A58D4" w:rsidRDefault="002A58D4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D4" w:rsidRDefault="002A58D4" w:rsidP="00AC5144">
      <w:pPr>
        <w:spacing w:after="0" w:line="240" w:lineRule="auto"/>
      </w:pPr>
      <w:r>
        <w:separator/>
      </w:r>
    </w:p>
  </w:footnote>
  <w:footnote w:type="continuationSeparator" w:id="0">
    <w:p w:rsidR="002A58D4" w:rsidRDefault="002A58D4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1479C6"/>
    <w:rsid w:val="001B61D8"/>
    <w:rsid w:val="00212159"/>
    <w:rsid w:val="00215C42"/>
    <w:rsid w:val="002737E3"/>
    <w:rsid w:val="002A58D4"/>
    <w:rsid w:val="00345D91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06CB"/>
    <w:rsid w:val="008D30FB"/>
    <w:rsid w:val="008F7682"/>
    <w:rsid w:val="009029F2"/>
    <w:rsid w:val="009248BC"/>
    <w:rsid w:val="00963C21"/>
    <w:rsid w:val="00A43327"/>
    <w:rsid w:val="00AB0E5A"/>
    <w:rsid w:val="00AC5144"/>
    <w:rsid w:val="00B53A9D"/>
    <w:rsid w:val="00D03D71"/>
    <w:rsid w:val="00D25A1F"/>
    <w:rsid w:val="00D45082"/>
    <w:rsid w:val="00D930B7"/>
    <w:rsid w:val="00E44949"/>
    <w:rsid w:val="00E47EFF"/>
    <w:rsid w:val="00E80C12"/>
    <w:rsid w:val="00ED26F8"/>
    <w:rsid w:val="00F07CBB"/>
    <w:rsid w:val="00F55A9B"/>
    <w:rsid w:val="00FA6679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ents-data.interridge.org/" TargetMode="External"/><Relationship Id="rId18" Type="http://schemas.openxmlformats.org/officeDocument/2006/relationships/hyperlink" Target="https://www.soest.hawaii.edu/wessel/smts/" TargetMode="External"/><Relationship Id="rId26" Type="http://schemas.openxmlformats.org/officeDocument/2006/relationships/hyperlink" Target="http://tiny.cc/ecv-review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socean.org/index.php?option=com_oe&amp;task=viewDocumentRecord&amp;docID=175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pt.vliz.be/eurobis/resource?r=chessbase" TargetMode="External"/><Relationship Id="rId17" Type="http://schemas.openxmlformats.org/officeDocument/2006/relationships/hyperlink" Target="https://www.ices.dk/marine-data/data-portals/Pages/vulnerable-marine-ecosystems.aspx" TargetMode="External"/><Relationship Id="rId25" Type="http://schemas.openxmlformats.org/officeDocument/2006/relationships/hyperlink" Target="http://goosocean.org/index.php?option=com_oe&amp;task=viewDocumentRecord&amp;docID=17515" TargetMode="External"/><Relationship Id="rId33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doi.org/10.1594/PANGAEA.728313" TargetMode="External"/><Relationship Id="rId20" Type="http://schemas.openxmlformats.org/officeDocument/2006/relationships/hyperlink" Target="https://www.cifor.org/publications/pdf_files/WPapers/WP86CIFOR.pdf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bis.org/dataset/471a8de8-80f8-43f9-9443-88a45712feba" TargetMode="External"/><Relationship Id="rId24" Type="http://schemas.openxmlformats.org/officeDocument/2006/relationships/hyperlink" Target="http://tiny.cc/ecv-review" TargetMode="External"/><Relationship Id="rId32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hyperlink" Target="https://deepseacoraldata.noaa.gov/" TargetMode="External"/><Relationship Id="rId23" Type="http://schemas.openxmlformats.org/officeDocument/2006/relationships/hyperlink" Target="http://goosocean.org/index.php?option=com_oe&amp;task=viewDocumentRecord&amp;docID=1751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obis.org/" TargetMode="External"/><Relationship Id="rId19" Type="http://schemas.openxmlformats.org/officeDocument/2006/relationships/hyperlink" Target="https://www.daf.qld.gov.au/__data/assets/pdf_file/0006/63339/Data-collection-protocol.pdf" TargetMode="External"/><Relationship Id="rId31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yperlink" Target="mailto:hruhl@mbari.org" TargetMode="External"/><Relationship Id="rId14" Type="http://schemas.openxmlformats.org/officeDocument/2006/relationships/hyperlink" Target="http://data.unep-wcmc.org/datasets/3" TargetMode="External"/><Relationship Id="rId22" Type="http://schemas.openxmlformats.org/officeDocument/2006/relationships/hyperlink" Target="http://tiny.cc/ecv-review" TargetMode="External"/><Relationship Id="rId27" Type="http://schemas.openxmlformats.org/officeDocument/2006/relationships/hyperlink" Target="http://tiny.cc/ecv-review" TargetMode="External"/><Relationship Id="rId30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33D853C9184F02A6C7ACEC3F26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AB5FA-6E1D-474F-8E05-FC740866E0C3}"/>
      </w:docPartPr>
      <w:docPartBody>
        <w:p w:rsidR="000803F2" w:rsidRDefault="00C43782" w:rsidP="00C43782">
          <w:pPr>
            <w:pStyle w:val="0F33D853C9184F02A6C7ACEC3F269683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5BECAD19456B4FDB9F4B6B815E033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E1A7A-A74A-415D-9DA8-321F7CF9FB48}"/>
      </w:docPartPr>
      <w:docPartBody>
        <w:p w:rsidR="00000000" w:rsidRDefault="00362BE3" w:rsidP="00362BE3">
          <w:pPr>
            <w:pStyle w:val="5BECAD19456B4FDB9F4B6B815E03327A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906E1271296542FDA607CCD3D5439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FD9B5-EEE8-4349-B198-467513AAD945}"/>
      </w:docPartPr>
      <w:docPartBody>
        <w:p w:rsidR="00000000" w:rsidRDefault="00362BE3" w:rsidP="00362BE3">
          <w:pPr>
            <w:pStyle w:val="906E1271296542FDA607CCD3D5439F1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935C78FC3642490DB81661400C089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D30A2-259D-47C3-9896-CC8D57C439FF}"/>
      </w:docPartPr>
      <w:docPartBody>
        <w:p w:rsidR="00000000" w:rsidRDefault="00362BE3" w:rsidP="00362BE3">
          <w:pPr>
            <w:pStyle w:val="935C78FC3642490DB81661400C0899EF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BD07AFBA4C2427193BAD40D10813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F5275-2C9C-4DAE-B1A5-4713334AD7D4}"/>
      </w:docPartPr>
      <w:docPartBody>
        <w:p w:rsidR="00000000" w:rsidRDefault="00362BE3" w:rsidP="00362BE3">
          <w:pPr>
            <w:pStyle w:val="8BD07AFBA4C2427193BAD40D10813413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003F38"/>
    <w:rsid w:val="000803F2"/>
    <w:rsid w:val="00362BE3"/>
    <w:rsid w:val="006025E7"/>
    <w:rsid w:val="00803F39"/>
    <w:rsid w:val="008F5731"/>
    <w:rsid w:val="00C43782"/>
    <w:rsid w:val="00CB0009"/>
    <w:rsid w:val="00DA79DD"/>
    <w:rsid w:val="00DC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BE3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  <w:style w:type="paragraph" w:customStyle="1" w:styleId="5BECAD19456B4FDB9F4B6B815E03327A">
    <w:name w:val="5BECAD19456B4FDB9F4B6B815E03327A"/>
    <w:rsid w:val="00362BE3"/>
  </w:style>
  <w:style w:type="paragraph" w:customStyle="1" w:styleId="906E1271296542FDA607CCD3D5439F19">
    <w:name w:val="906E1271296542FDA607CCD3D5439F19"/>
    <w:rsid w:val="00362BE3"/>
  </w:style>
  <w:style w:type="paragraph" w:customStyle="1" w:styleId="935C78FC3642490DB81661400C0899EF">
    <w:name w:val="935C78FC3642490DB81661400C0899EF"/>
    <w:rsid w:val="00362BE3"/>
  </w:style>
  <w:style w:type="paragraph" w:customStyle="1" w:styleId="8BD07AFBA4C2427193BAD40D10813413">
    <w:name w:val="8BD07AFBA4C2427193BAD40D10813413"/>
    <w:rsid w:val="00362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BE3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  <w:style w:type="paragraph" w:customStyle="1" w:styleId="5BECAD19456B4FDB9F4B6B815E03327A">
    <w:name w:val="5BECAD19456B4FDB9F4B6B815E03327A"/>
    <w:rsid w:val="00362BE3"/>
  </w:style>
  <w:style w:type="paragraph" w:customStyle="1" w:styleId="906E1271296542FDA607CCD3D5439F19">
    <w:name w:val="906E1271296542FDA607CCD3D5439F19"/>
    <w:rsid w:val="00362BE3"/>
  </w:style>
  <w:style w:type="paragraph" w:customStyle="1" w:styleId="935C78FC3642490DB81661400C0899EF">
    <w:name w:val="935C78FC3642490DB81661400C0899EF"/>
    <w:rsid w:val="00362BE3"/>
  </w:style>
  <w:style w:type="paragraph" w:customStyle="1" w:styleId="8BD07AFBA4C2427193BAD40D10813413">
    <w:name w:val="8BD07AFBA4C2427193BAD40D10813413"/>
    <w:rsid w:val="00362B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31259E-1769-4855-9AED-41FFD785B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322E7-AB3F-42CF-81CF-5B73A41517A9}"/>
</file>

<file path=customXml/itemProps3.xml><?xml version="1.0" encoding="utf-8"?>
<ds:datastoreItem xmlns:ds="http://schemas.openxmlformats.org/officeDocument/2006/customXml" ds:itemID="{6A5EE750-5864-48C5-AC4F-C8DA033F4CDA}"/>
</file>

<file path=customXml/itemProps4.xml><?xml version="1.0" encoding="utf-8"?>
<ds:datastoreItem xmlns:ds="http://schemas.openxmlformats.org/officeDocument/2006/customXml" ds:itemID="{EC5D83DB-3C87-4B29-91EA-933A42477A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10</Pages>
  <Words>2078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13486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Caterina Tassone</dc:creator>
  <cp:lastModifiedBy>Magaly Robbez</cp:lastModifiedBy>
  <cp:revision>4</cp:revision>
  <dcterms:created xsi:type="dcterms:W3CDTF">2020-03-23T11:35:00Z</dcterms:created>
  <dcterms:modified xsi:type="dcterms:W3CDTF">2020-03-27T16:04:00Z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