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A3" w:rsidRDefault="00874C49">
      <w:pPr>
        <w:jc w:val="center"/>
        <w:rPr>
          <w:b/>
        </w:rPr>
      </w:pPr>
      <w:r>
        <w:rPr>
          <w:b/>
        </w:rPr>
        <w:t>CEOS Space Data Coordination Group for GFOI</w:t>
      </w:r>
    </w:p>
    <w:p w:rsidR="00522BA3" w:rsidRDefault="00522BA3">
      <w:pPr>
        <w:jc w:val="center"/>
        <w:rPr>
          <w:b/>
        </w:rPr>
      </w:pPr>
    </w:p>
    <w:p w:rsidR="00522BA3" w:rsidRDefault="00874C49">
      <w:pPr>
        <w:jc w:val="center"/>
        <w:rPr>
          <w:b/>
        </w:rPr>
      </w:pPr>
      <w:r>
        <w:rPr>
          <w:b/>
          <w:i/>
        </w:rPr>
        <w:t>Biomass Day</w:t>
      </w:r>
      <w:r>
        <w:rPr>
          <w:b/>
        </w:rPr>
        <w:t xml:space="preserve"> Prospectus</w:t>
      </w:r>
      <w:r w:rsidR="008133FE">
        <w:rPr>
          <w:b/>
        </w:rPr>
        <w:t xml:space="preserve"> v0.2</w:t>
      </w:r>
    </w:p>
    <w:p w:rsidR="00522BA3" w:rsidRDefault="00874C49">
      <w:pPr>
        <w:jc w:val="center"/>
        <w:rPr>
          <w:b/>
        </w:rPr>
      </w:pPr>
      <w:r>
        <w:rPr>
          <w:b/>
        </w:rPr>
        <w:t>26</w:t>
      </w:r>
      <w:r>
        <w:rPr>
          <w:b/>
          <w:vertAlign w:val="superscript"/>
        </w:rPr>
        <w:t>th</w:t>
      </w:r>
      <w:r>
        <w:rPr>
          <w:b/>
        </w:rPr>
        <w:t xml:space="preserve"> March 2019, Hampton, VA</w:t>
      </w:r>
    </w:p>
    <w:p w:rsidR="00522BA3" w:rsidRDefault="00522BA3">
      <w:pPr>
        <w:jc w:val="center"/>
        <w:rPr>
          <w:b/>
        </w:rPr>
      </w:pPr>
    </w:p>
    <w:p w:rsidR="00522BA3" w:rsidRDefault="00874C49">
      <w:pPr>
        <w:jc w:val="both"/>
      </w:pPr>
      <w:r>
        <w:t xml:space="preserve">The new SDCG Work Plan aims to </w:t>
      </w:r>
      <w:proofErr w:type="spellStart"/>
      <w:r>
        <w:t>prioritise</w:t>
      </w:r>
      <w:proofErr w:type="spellEnd"/>
      <w:r>
        <w:t xml:space="preserve"> the promotion of the policy relevance of the new generation of data</w:t>
      </w:r>
      <w:r w:rsidR="00C34BE3">
        <w:t>-</w:t>
      </w:r>
      <w:r>
        <w:t xml:space="preserve">streams from CEOS space agencies relevant to estimation of above ground biomass (AGB). To ensure a thorough understanding of the status and outlook for these missions and of the related technical work underway within the WGCV Land Product Validation Subgroup on the CEOS Biomass Protocol, to help </w:t>
      </w:r>
      <w:proofErr w:type="spellStart"/>
      <w:r>
        <w:t>standardise</w:t>
      </w:r>
      <w:proofErr w:type="spellEnd"/>
      <w:r>
        <w:t xml:space="preserve"> and </w:t>
      </w:r>
      <w:proofErr w:type="spellStart"/>
      <w:r>
        <w:t>characterise</w:t>
      </w:r>
      <w:proofErr w:type="spellEnd"/>
      <w:r>
        <w:t xml:space="preserve"> the data from them, an exploratory Biomass Day will be held in conjunction with the SDCG-15 meeting being hosted by the NASA SEO in Virginia in late March. </w:t>
      </w:r>
    </w:p>
    <w:p w:rsidR="00522BA3" w:rsidRDefault="00874C49">
      <w:pPr>
        <w:spacing w:before="200"/>
        <w:jc w:val="both"/>
      </w:pPr>
      <w:r>
        <w:t>The proposed objectives of the meeting are as follows:</w:t>
      </w:r>
    </w:p>
    <w:p w:rsidR="00522BA3" w:rsidRDefault="00874C49">
      <w:pPr>
        <w:numPr>
          <w:ilvl w:val="0"/>
          <w:numId w:val="5"/>
        </w:numPr>
        <w:spacing w:before="200"/>
        <w:ind w:left="450"/>
        <w:jc w:val="both"/>
      </w:pPr>
      <w:r>
        <w:t>Reporting on the latest status and outlook for all related CEOS missions;</w:t>
      </w:r>
    </w:p>
    <w:p w:rsidR="00522BA3" w:rsidRDefault="00874C49">
      <w:pPr>
        <w:numPr>
          <w:ilvl w:val="0"/>
          <w:numId w:val="5"/>
        </w:numPr>
        <w:ind w:left="450"/>
        <w:jc w:val="both"/>
      </w:pPr>
      <w:r>
        <w:t xml:space="preserve">Establishing a complete understanding of activities in relation to </w:t>
      </w:r>
      <w:proofErr w:type="spellStart"/>
      <w:r>
        <w:t>cal-val</w:t>
      </w:r>
      <w:proofErr w:type="spellEnd"/>
      <w:r>
        <w:t xml:space="preserve">, </w:t>
      </w:r>
      <w:proofErr w:type="spellStart"/>
      <w:r>
        <w:t>intercomparison</w:t>
      </w:r>
      <w:proofErr w:type="spellEnd"/>
      <w:r>
        <w:t xml:space="preserve"> studies, data accuracy </w:t>
      </w:r>
      <w:proofErr w:type="spellStart"/>
      <w:r>
        <w:t>etc</w:t>
      </w:r>
      <w:proofErr w:type="spellEnd"/>
      <w:r>
        <w:t xml:space="preserve"> - including the plans for </w:t>
      </w:r>
      <w:proofErr w:type="spellStart"/>
      <w:r>
        <w:t>finalisation</w:t>
      </w:r>
      <w:proofErr w:type="spellEnd"/>
      <w:r>
        <w:t xml:space="preserve"> and promotion of the CEOS Biomass Protocol;</w:t>
      </w:r>
      <w:r w:rsidR="00C34BE3">
        <w:t xml:space="preserve"> and of the suitability of the various CEOS agency products in support of the monitoring and reporting efforts of GFOI countries;</w:t>
      </w:r>
    </w:p>
    <w:p w:rsidR="00522BA3" w:rsidRDefault="00874C49">
      <w:pPr>
        <w:numPr>
          <w:ilvl w:val="0"/>
          <w:numId w:val="5"/>
        </w:numPr>
        <w:ind w:left="450"/>
        <w:jc w:val="both"/>
      </w:pPr>
      <w:r>
        <w:t>Debating how LPV and SDCG might cooperate, and their respective roles, through the GFOI framework to promote uptake of the Biomass Protocol, and uptake of CEOS agency biomass data products broadly;</w:t>
      </w:r>
    </w:p>
    <w:p w:rsidR="00522BA3" w:rsidRDefault="00874C49">
      <w:pPr>
        <w:numPr>
          <w:ilvl w:val="0"/>
          <w:numId w:val="5"/>
        </w:numPr>
        <w:ind w:left="450"/>
        <w:jc w:val="both"/>
      </w:pPr>
      <w:r>
        <w:t>Establish areas where the incoming SIT Chair (CSIRO) might support and give higher profile to this work and where the priorities lie for the 2020-21 period;</w:t>
      </w:r>
    </w:p>
    <w:p w:rsidR="00522BA3" w:rsidRDefault="00874C49">
      <w:pPr>
        <w:numPr>
          <w:ilvl w:val="0"/>
          <w:numId w:val="5"/>
        </w:numPr>
        <w:ind w:left="450"/>
        <w:jc w:val="both"/>
      </w:pPr>
      <w:r>
        <w:t xml:space="preserve">Brainstorm possible collaborations among CEOS agencies (and other GFOI stakeholders) to address these priorities - </w:t>
      </w:r>
      <w:proofErr w:type="spellStart"/>
      <w:r>
        <w:t>eg</w:t>
      </w:r>
      <w:proofErr w:type="spellEnd"/>
      <w:r>
        <w:t xml:space="preserve"> through promotion of an L-band SAR virtual constellation;</w:t>
      </w:r>
    </w:p>
    <w:p w:rsidR="00522BA3" w:rsidRDefault="00874C49">
      <w:pPr>
        <w:numPr>
          <w:ilvl w:val="0"/>
          <w:numId w:val="5"/>
        </w:numPr>
        <w:ind w:left="450"/>
        <w:jc w:val="both"/>
      </w:pPr>
      <w:r>
        <w:t>Update the draft SDCG Work Plan tasks and outcomes accordingly;</w:t>
      </w:r>
    </w:p>
    <w:p w:rsidR="00522BA3" w:rsidRDefault="00874C49">
      <w:pPr>
        <w:numPr>
          <w:ilvl w:val="0"/>
          <w:numId w:val="5"/>
        </w:numPr>
        <w:ind w:left="450"/>
        <w:jc w:val="both"/>
      </w:pPr>
      <w:proofErr w:type="spellStart"/>
      <w:r>
        <w:t>Finalise</w:t>
      </w:r>
      <w:proofErr w:type="spellEnd"/>
      <w:r>
        <w:t xml:space="preserve"> CEOS inputs to GFOI Plenary in relation to Biomass and the education of GFOI countries as to the potential of the data.</w:t>
      </w:r>
    </w:p>
    <w:p w:rsidR="00522BA3" w:rsidRDefault="00874C49">
      <w:pPr>
        <w:spacing w:before="200"/>
        <w:jc w:val="both"/>
      </w:pPr>
      <w:r>
        <w:t xml:space="preserve">Attendance is expected to include the usual CEOS agency representatives, equipped with reports on the relevant biomass missions, their </w:t>
      </w:r>
      <w:proofErr w:type="spellStart"/>
      <w:r>
        <w:t>cal-val</w:t>
      </w:r>
      <w:proofErr w:type="spellEnd"/>
      <w:r>
        <w:t xml:space="preserve"> and in-situ activities, and their intended data ‘customers’. Reports are expected from: NASA, ESA, JAXA, CONAE and DLR. Where attendance is not possible, SDCG requests presentation materials provided in advance. Representatives from WGCV-LPV are also confirmed. GFOI colleagues from World Bank and from USGS/SilvaCarbon have also been invited. </w:t>
      </w:r>
    </w:p>
    <w:p w:rsidR="008133FE" w:rsidRPr="008133FE" w:rsidRDefault="008133FE">
      <w:pPr>
        <w:spacing w:before="200"/>
        <w:jc w:val="both"/>
        <w:rPr>
          <w:b/>
        </w:rPr>
      </w:pPr>
      <w:r w:rsidRPr="008133FE">
        <w:rPr>
          <w:b/>
        </w:rPr>
        <w:t xml:space="preserve">Speakers are asked to include materials highlighting activities their agency is engaged in or planning in relation to multi-mission coordination, such as </w:t>
      </w:r>
      <w:proofErr w:type="spellStart"/>
      <w:r w:rsidRPr="008133FE">
        <w:rPr>
          <w:b/>
        </w:rPr>
        <w:t>cal-val</w:t>
      </w:r>
      <w:proofErr w:type="spellEnd"/>
      <w:r w:rsidRPr="008133FE">
        <w:rPr>
          <w:b/>
        </w:rPr>
        <w:t xml:space="preserve">, inter-comparison or accuracy studies – that might be identified as part of an identified and coordinated CEOS effort in relation to AGB missions. </w:t>
      </w:r>
    </w:p>
    <w:p w:rsidR="00522BA3" w:rsidRDefault="00874C49">
      <w:pPr>
        <w:spacing w:before="200"/>
        <w:jc w:val="both"/>
      </w:pPr>
      <w:r>
        <w:t>An outline agenda is proposed below.</w:t>
      </w:r>
      <w:r w:rsidR="008133FE">
        <w:t xml:space="preserve"> </w:t>
      </w:r>
    </w:p>
    <w:p w:rsidR="00522BA3" w:rsidRDefault="00874C49">
      <w:pPr>
        <w:spacing w:before="200"/>
        <w:jc w:val="both"/>
      </w:pPr>
      <w:r>
        <w:br w:type="page"/>
      </w:r>
    </w:p>
    <w:p w:rsidR="00522BA3" w:rsidRDefault="00874C49">
      <w:pPr>
        <w:jc w:val="center"/>
        <w:rPr>
          <w:b/>
        </w:rPr>
      </w:pPr>
      <w:r>
        <w:rPr>
          <w:b/>
        </w:rPr>
        <w:lastRenderedPageBreak/>
        <w:t>CEOS Space Data Coordination Group for GFOI</w:t>
      </w:r>
    </w:p>
    <w:p w:rsidR="00522BA3" w:rsidRDefault="00522BA3">
      <w:pPr>
        <w:jc w:val="center"/>
        <w:rPr>
          <w:b/>
        </w:rPr>
      </w:pPr>
    </w:p>
    <w:p w:rsidR="00522BA3" w:rsidRDefault="00874C49">
      <w:pPr>
        <w:jc w:val="center"/>
        <w:rPr>
          <w:b/>
        </w:rPr>
      </w:pPr>
      <w:r>
        <w:rPr>
          <w:b/>
          <w:i/>
        </w:rPr>
        <w:t>Biomass Day</w:t>
      </w:r>
      <w:r>
        <w:rPr>
          <w:b/>
        </w:rPr>
        <w:t xml:space="preserve"> Agenda</w:t>
      </w:r>
      <w:r w:rsidR="008133FE">
        <w:rPr>
          <w:b/>
        </w:rPr>
        <w:t xml:space="preserve"> v0.2</w:t>
      </w:r>
      <w:bookmarkStart w:id="0" w:name="_GoBack"/>
      <w:bookmarkEnd w:id="0"/>
    </w:p>
    <w:p w:rsidR="00522BA3" w:rsidRDefault="00874C49">
      <w:pPr>
        <w:jc w:val="center"/>
        <w:rPr>
          <w:b/>
        </w:rPr>
      </w:pPr>
      <w:r>
        <w:rPr>
          <w:b/>
        </w:rPr>
        <w:t>26</w:t>
      </w:r>
      <w:r>
        <w:rPr>
          <w:b/>
          <w:vertAlign w:val="superscript"/>
        </w:rPr>
        <w:t>th</w:t>
      </w:r>
      <w:r>
        <w:rPr>
          <w:b/>
        </w:rPr>
        <w:t xml:space="preserve"> March 2019, Hampton, VA</w:t>
      </w:r>
    </w:p>
    <w:p w:rsidR="00522BA3" w:rsidRDefault="00522BA3">
      <w:pPr>
        <w:spacing w:before="200"/>
        <w:jc w:val="both"/>
      </w:pPr>
    </w:p>
    <w:p w:rsidR="00522BA3" w:rsidRDefault="00522BA3">
      <w:pPr>
        <w:spacing w:before="200"/>
        <w:jc w:val="both"/>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522BA3">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t>0900</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rsidRPr="00C34BE3">
              <w:rPr>
                <w:b/>
              </w:rPr>
              <w:t xml:space="preserve">Intro and Welcome </w:t>
            </w:r>
            <w:r>
              <w:t>(SDCG Co-Chairs)</w:t>
            </w:r>
          </w:p>
        </w:tc>
      </w:tr>
      <w:tr w:rsidR="00522BA3">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t>0915</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rsidRPr="00C34BE3">
              <w:rPr>
                <w:b/>
              </w:rPr>
              <w:t>Content and objectives for the day</w:t>
            </w:r>
            <w:r>
              <w:t xml:space="preserve"> (SDCG SEC)</w:t>
            </w:r>
          </w:p>
        </w:tc>
      </w:tr>
      <w:tr w:rsidR="00522BA3">
        <w:trPr>
          <w:trHeight w:val="460"/>
        </w:trPr>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t>0930</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rsidRPr="00C34BE3">
              <w:rPr>
                <w:b/>
              </w:rPr>
              <w:t>Space Agency Status and Outlook Reports</w:t>
            </w:r>
            <w:r>
              <w:t xml:space="preserve"> (</w:t>
            </w:r>
            <w:proofErr w:type="spellStart"/>
            <w:r>
              <w:t>inc</w:t>
            </w:r>
            <w:proofErr w:type="spellEnd"/>
            <w:r>
              <w:t xml:space="preserve"> break)</w:t>
            </w:r>
          </w:p>
          <w:p w:rsidR="00522BA3" w:rsidRDefault="00874C49">
            <w:pPr>
              <w:widowControl w:val="0"/>
              <w:numPr>
                <w:ilvl w:val="0"/>
                <w:numId w:val="6"/>
              </w:numPr>
              <w:pBdr>
                <w:top w:val="nil"/>
                <w:left w:val="nil"/>
                <w:bottom w:val="nil"/>
                <w:right w:val="nil"/>
                <w:between w:val="nil"/>
              </w:pBdr>
              <w:spacing w:line="240" w:lineRule="auto"/>
            </w:pPr>
            <w:r>
              <w:t xml:space="preserve">NASA (Mike </w:t>
            </w:r>
            <w:proofErr w:type="spellStart"/>
            <w:r>
              <w:t>Falkowski</w:t>
            </w:r>
            <w:proofErr w:type="spellEnd"/>
            <w:r>
              <w:t>)</w:t>
            </w:r>
          </w:p>
          <w:p w:rsidR="00522BA3" w:rsidRDefault="00874C49">
            <w:pPr>
              <w:widowControl w:val="0"/>
              <w:numPr>
                <w:ilvl w:val="0"/>
                <w:numId w:val="6"/>
              </w:numPr>
              <w:pBdr>
                <w:top w:val="nil"/>
                <w:left w:val="nil"/>
                <w:bottom w:val="nil"/>
                <w:right w:val="nil"/>
                <w:between w:val="nil"/>
              </w:pBdr>
              <w:spacing w:line="240" w:lineRule="auto"/>
            </w:pPr>
            <w:r>
              <w:t>ESA (Steven Hosford)</w:t>
            </w:r>
          </w:p>
          <w:p w:rsidR="00522BA3" w:rsidRDefault="00874C49">
            <w:pPr>
              <w:widowControl w:val="0"/>
              <w:numPr>
                <w:ilvl w:val="0"/>
                <w:numId w:val="6"/>
              </w:numPr>
              <w:pBdr>
                <w:top w:val="nil"/>
                <w:left w:val="nil"/>
                <w:bottom w:val="nil"/>
                <w:right w:val="nil"/>
                <w:between w:val="nil"/>
              </w:pBdr>
              <w:spacing w:line="240" w:lineRule="auto"/>
            </w:pPr>
            <w:r>
              <w:t xml:space="preserve">JAXA (Ake </w:t>
            </w:r>
            <w:proofErr w:type="spellStart"/>
            <w:r>
              <w:t>Rosenqvist</w:t>
            </w:r>
            <w:proofErr w:type="spellEnd"/>
            <w:r>
              <w:t>)</w:t>
            </w:r>
          </w:p>
          <w:p w:rsidR="00522BA3" w:rsidRDefault="00874C49">
            <w:pPr>
              <w:widowControl w:val="0"/>
              <w:numPr>
                <w:ilvl w:val="0"/>
                <w:numId w:val="6"/>
              </w:numPr>
              <w:pBdr>
                <w:top w:val="nil"/>
                <w:left w:val="nil"/>
                <w:bottom w:val="nil"/>
                <w:right w:val="nil"/>
                <w:between w:val="nil"/>
              </w:pBdr>
              <w:spacing w:line="240" w:lineRule="auto"/>
            </w:pPr>
            <w:r>
              <w:t xml:space="preserve">CONAE (Ake </w:t>
            </w:r>
            <w:proofErr w:type="spellStart"/>
            <w:r>
              <w:t>Rosenqvist</w:t>
            </w:r>
            <w:proofErr w:type="spellEnd"/>
            <w:r>
              <w:t>)</w:t>
            </w:r>
          </w:p>
          <w:p w:rsidR="00522BA3" w:rsidRDefault="00874C49">
            <w:pPr>
              <w:widowControl w:val="0"/>
              <w:numPr>
                <w:ilvl w:val="0"/>
                <w:numId w:val="6"/>
              </w:numPr>
              <w:pBdr>
                <w:top w:val="nil"/>
                <w:left w:val="nil"/>
                <w:bottom w:val="nil"/>
                <w:right w:val="nil"/>
                <w:between w:val="nil"/>
              </w:pBdr>
              <w:spacing w:line="240" w:lineRule="auto"/>
            </w:pPr>
            <w:r>
              <w:t>DLR (?)</w:t>
            </w:r>
          </w:p>
          <w:p w:rsidR="00522BA3" w:rsidRDefault="00874C49">
            <w:pPr>
              <w:widowControl w:val="0"/>
              <w:numPr>
                <w:ilvl w:val="0"/>
                <w:numId w:val="6"/>
              </w:numPr>
              <w:pBdr>
                <w:top w:val="nil"/>
                <w:left w:val="nil"/>
                <w:bottom w:val="nil"/>
                <w:right w:val="nil"/>
                <w:between w:val="nil"/>
              </w:pBdr>
              <w:spacing w:line="240" w:lineRule="auto"/>
            </w:pPr>
            <w:r>
              <w:t>Relevant commercial systems (Stephen Ward)</w:t>
            </w:r>
          </w:p>
        </w:tc>
      </w:tr>
      <w:tr w:rsidR="00522BA3">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t>1130</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rsidRPr="00C34BE3">
              <w:rPr>
                <w:b/>
              </w:rPr>
              <w:t>CEOS Biomass Protocol</w:t>
            </w:r>
            <w:r>
              <w:t xml:space="preserve"> (Laura </w:t>
            </w:r>
            <w:proofErr w:type="spellStart"/>
            <w:r>
              <w:t>Duncanson</w:t>
            </w:r>
            <w:proofErr w:type="spellEnd"/>
            <w:r>
              <w:t xml:space="preserve"> and John </w:t>
            </w:r>
            <w:proofErr w:type="spellStart"/>
            <w:r>
              <w:t>Armston</w:t>
            </w:r>
            <w:proofErr w:type="spellEnd"/>
            <w:r>
              <w:t>)</w:t>
            </w:r>
          </w:p>
        </w:tc>
      </w:tr>
      <w:tr w:rsidR="00522BA3">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rPr>
                <w:i/>
              </w:rPr>
            </w:pPr>
            <w:r>
              <w:rPr>
                <w:i/>
              </w:rPr>
              <w:t>1245</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rPr>
                <w:i/>
              </w:rPr>
            </w:pPr>
            <w:r>
              <w:rPr>
                <w:i/>
              </w:rPr>
              <w:t>Lunch</w:t>
            </w:r>
          </w:p>
        </w:tc>
      </w:tr>
      <w:tr w:rsidR="00522BA3">
        <w:tc>
          <w:tcPr>
            <w:tcW w:w="186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t>1330</w:t>
            </w:r>
          </w:p>
        </w:tc>
        <w:tc>
          <w:tcPr>
            <w:tcW w:w="7500" w:type="dxa"/>
            <w:shd w:val="clear" w:color="auto" w:fill="auto"/>
            <w:tcMar>
              <w:top w:w="100" w:type="dxa"/>
              <w:left w:w="100" w:type="dxa"/>
              <w:bottom w:w="100" w:type="dxa"/>
              <w:right w:w="100" w:type="dxa"/>
            </w:tcMar>
          </w:tcPr>
          <w:p w:rsidR="00522BA3" w:rsidRDefault="00874C49">
            <w:pPr>
              <w:widowControl w:val="0"/>
              <w:pBdr>
                <w:top w:val="nil"/>
                <w:left w:val="nil"/>
                <w:bottom w:val="nil"/>
                <w:right w:val="nil"/>
                <w:between w:val="nil"/>
              </w:pBdr>
              <w:spacing w:line="240" w:lineRule="auto"/>
            </w:pPr>
            <w:r w:rsidRPr="00C34BE3">
              <w:rPr>
                <w:b/>
              </w:rPr>
              <w:t xml:space="preserve">Discussion Topic 1: </w:t>
            </w:r>
            <w:r w:rsidR="008133FE">
              <w:rPr>
                <w:b/>
              </w:rPr>
              <w:t>Multi-Mission Collaboration</w:t>
            </w:r>
            <w:r>
              <w:t xml:space="preserve"> (Joanne Nightingale)</w:t>
            </w:r>
          </w:p>
          <w:p w:rsidR="00522BA3" w:rsidRDefault="00874C49">
            <w:pPr>
              <w:widowControl w:val="0"/>
              <w:numPr>
                <w:ilvl w:val="0"/>
                <w:numId w:val="4"/>
              </w:numPr>
              <w:pBdr>
                <w:top w:val="nil"/>
                <w:left w:val="nil"/>
                <w:bottom w:val="nil"/>
                <w:right w:val="nil"/>
                <w:between w:val="nil"/>
              </w:pBdr>
              <w:spacing w:line="240" w:lineRule="auto"/>
            </w:pPr>
            <w:r>
              <w:t>Based on known activities and gaps</w:t>
            </w:r>
          </w:p>
          <w:p w:rsidR="00522BA3" w:rsidRDefault="00874C49">
            <w:pPr>
              <w:widowControl w:val="0"/>
              <w:numPr>
                <w:ilvl w:val="0"/>
                <w:numId w:val="4"/>
              </w:numPr>
              <w:pBdr>
                <w:top w:val="nil"/>
                <w:left w:val="nil"/>
                <w:bottom w:val="nil"/>
                <w:right w:val="nil"/>
                <w:between w:val="nil"/>
              </w:pBdr>
              <w:spacing w:line="240" w:lineRule="auto"/>
            </w:pPr>
            <w:r>
              <w:t xml:space="preserve">To </w:t>
            </w:r>
            <w:proofErr w:type="spellStart"/>
            <w:r>
              <w:t>realise</w:t>
            </w:r>
            <w:proofErr w:type="spellEnd"/>
            <w:r>
              <w:t xml:space="preserve"> the Protocol objectives</w:t>
            </w:r>
          </w:p>
          <w:p w:rsidR="00522BA3" w:rsidRDefault="00874C49">
            <w:pPr>
              <w:widowControl w:val="0"/>
              <w:numPr>
                <w:ilvl w:val="0"/>
                <w:numId w:val="4"/>
              </w:numPr>
              <w:pBdr>
                <w:top w:val="nil"/>
                <w:left w:val="nil"/>
                <w:bottom w:val="nil"/>
                <w:right w:val="nil"/>
                <w:between w:val="nil"/>
              </w:pBdr>
              <w:spacing w:line="240" w:lineRule="auto"/>
            </w:pPr>
            <w:r>
              <w:t>ARD &amp; standards</w:t>
            </w:r>
            <w:r>
              <w:tab/>
            </w:r>
            <w:r>
              <w:tab/>
            </w:r>
            <w:r>
              <w:tab/>
            </w:r>
            <w:r>
              <w:tab/>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1430</w:t>
            </w:r>
          </w:p>
        </w:tc>
        <w:tc>
          <w:tcPr>
            <w:tcW w:w="7500" w:type="dxa"/>
            <w:shd w:val="clear" w:color="auto" w:fill="auto"/>
            <w:tcMar>
              <w:top w:w="100" w:type="dxa"/>
              <w:left w:w="100" w:type="dxa"/>
              <w:bottom w:w="100" w:type="dxa"/>
              <w:right w:w="100" w:type="dxa"/>
            </w:tcMar>
          </w:tcPr>
          <w:p w:rsidR="00522BA3" w:rsidRDefault="00874C49">
            <w:pPr>
              <w:widowControl w:val="0"/>
              <w:spacing w:line="240" w:lineRule="auto"/>
            </w:pPr>
            <w:r w:rsidRPr="00C34BE3">
              <w:rPr>
                <w:b/>
              </w:rPr>
              <w:t>Discussion Topic 2: SIT Chair contribution</w:t>
            </w:r>
            <w:r>
              <w:t xml:space="preserve"> (SDCG SEC)</w:t>
            </w:r>
            <w:r>
              <w:tab/>
            </w:r>
            <w:r>
              <w:tab/>
            </w:r>
            <w:r>
              <w:tab/>
            </w:r>
            <w:r>
              <w:tab/>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1500</w:t>
            </w:r>
          </w:p>
        </w:tc>
        <w:tc>
          <w:tcPr>
            <w:tcW w:w="7500" w:type="dxa"/>
            <w:shd w:val="clear" w:color="auto" w:fill="auto"/>
            <w:tcMar>
              <w:top w:w="100" w:type="dxa"/>
              <w:left w:w="100" w:type="dxa"/>
              <w:bottom w:w="100" w:type="dxa"/>
              <w:right w:w="100" w:type="dxa"/>
            </w:tcMar>
          </w:tcPr>
          <w:p w:rsidR="00522BA3" w:rsidRDefault="00874C49">
            <w:pPr>
              <w:widowControl w:val="0"/>
              <w:spacing w:line="240" w:lineRule="auto"/>
            </w:pPr>
            <w:r w:rsidRPr="00C34BE3">
              <w:rPr>
                <w:b/>
              </w:rPr>
              <w:t>Discussion Topic 3: Utilizing the GFOI Framework to best effect</w:t>
            </w:r>
            <w:r>
              <w:t xml:space="preserve"> (Ake </w:t>
            </w:r>
            <w:proofErr w:type="spellStart"/>
            <w:r>
              <w:t>Rosenqvist</w:t>
            </w:r>
            <w:proofErr w:type="spellEnd"/>
            <w:r>
              <w:t>)</w:t>
            </w:r>
          </w:p>
          <w:p w:rsidR="00522BA3" w:rsidRDefault="00874C49">
            <w:pPr>
              <w:widowControl w:val="0"/>
              <w:numPr>
                <w:ilvl w:val="0"/>
                <w:numId w:val="2"/>
              </w:numPr>
              <w:spacing w:line="240" w:lineRule="auto"/>
            </w:pPr>
            <w:r>
              <w:t xml:space="preserve">Dataset suitability for NFMS needs &amp; reporting </w:t>
            </w:r>
          </w:p>
          <w:p w:rsidR="00522BA3" w:rsidRDefault="00874C49">
            <w:pPr>
              <w:widowControl w:val="0"/>
              <w:numPr>
                <w:ilvl w:val="0"/>
                <w:numId w:val="2"/>
              </w:numPr>
              <w:spacing w:line="240" w:lineRule="auto"/>
            </w:pPr>
            <w:r>
              <w:t>Accelerating policy relevance</w:t>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1530</w:t>
            </w:r>
          </w:p>
        </w:tc>
        <w:tc>
          <w:tcPr>
            <w:tcW w:w="7500" w:type="dxa"/>
            <w:shd w:val="clear" w:color="auto" w:fill="auto"/>
            <w:tcMar>
              <w:top w:w="100" w:type="dxa"/>
              <w:left w:w="100" w:type="dxa"/>
              <w:bottom w:w="100" w:type="dxa"/>
              <w:right w:w="100" w:type="dxa"/>
            </w:tcMar>
          </w:tcPr>
          <w:p w:rsidR="00522BA3" w:rsidRDefault="00874C49">
            <w:pPr>
              <w:widowControl w:val="0"/>
              <w:spacing w:line="240" w:lineRule="auto"/>
            </w:pPr>
            <w:r>
              <w:t>Break</w:t>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1545</w:t>
            </w:r>
          </w:p>
        </w:tc>
        <w:tc>
          <w:tcPr>
            <w:tcW w:w="7500" w:type="dxa"/>
            <w:shd w:val="clear" w:color="auto" w:fill="auto"/>
            <w:tcMar>
              <w:top w:w="100" w:type="dxa"/>
              <w:left w:w="100" w:type="dxa"/>
              <w:bottom w:w="100" w:type="dxa"/>
              <w:right w:w="100" w:type="dxa"/>
            </w:tcMar>
          </w:tcPr>
          <w:p w:rsidR="00522BA3" w:rsidRDefault="00874C49">
            <w:pPr>
              <w:widowControl w:val="0"/>
              <w:spacing w:line="240" w:lineRule="auto"/>
            </w:pPr>
            <w:r w:rsidRPr="00C34BE3">
              <w:rPr>
                <w:b/>
              </w:rPr>
              <w:t xml:space="preserve">Discussion Topic 4: </w:t>
            </w:r>
            <w:proofErr w:type="spellStart"/>
            <w:r w:rsidRPr="00C34BE3">
              <w:rPr>
                <w:b/>
              </w:rPr>
              <w:t>Organisational</w:t>
            </w:r>
            <w:proofErr w:type="spellEnd"/>
            <w:r w:rsidRPr="00C34BE3">
              <w:rPr>
                <w:b/>
              </w:rPr>
              <w:t xml:space="preserve"> aspects and roles</w:t>
            </w:r>
            <w:r>
              <w:t xml:space="preserve"> (Steven Hosford)</w:t>
            </w:r>
          </w:p>
          <w:p w:rsidR="00522BA3" w:rsidRDefault="00874C49">
            <w:pPr>
              <w:widowControl w:val="0"/>
              <w:numPr>
                <w:ilvl w:val="0"/>
                <w:numId w:val="1"/>
              </w:numPr>
              <w:spacing w:line="240" w:lineRule="auto"/>
            </w:pPr>
            <w:r>
              <w:t>Including new scope and structures such as a VC</w:t>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1615</w:t>
            </w:r>
          </w:p>
        </w:tc>
        <w:tc>
          <w:tcPr>
            <w:tcW w:w="7500" w:type="dxa"/>
            <w:shd w:val="clear" w:color="auto" w:fill="auto"/>
            <w:tcMar>
              <w:top w:w="100" w:type="dxa"/>
              <w:left w:w="100" w:type="dxa"/>
              <w:bottom w:w="100" w:type="dxa"/>
              <w:right w:w="100" w:type="dxa"/>
            </w:tcMar>
          </w:tcPr>
          <w:p w:rsidR="00522BA3" w:rsidRPr="00C34BE3" w:rsidRDefault="00874C49">
            <w:pPr>
              <w:widowControl w:val="0"/>
              <w:spacing w:line="240" w:lineRule="auto"/>
              <w:rPr>
                <w:b/>
              </w:rPr>
            </w:pPr>
            <w:r w:rsidRPr="00C34BE3">
              <w:rPr>
                <w:b/>
              </w:rPr>
              <w:t>Wrap up</w:t>
            </w:r>
          </w:p>
          <w:p w:rsidR="00522BA3" w:rsidRDefault="00874C49">
            <w:pPr>
              <w:widowControl w:val="0"/>
              <w:numPr>
                <w:ilvl w:val="0"/>
                <w:numId w:val="3"/>
              </w:numPr>
              <w:spacing w:line="240" w:lineRule="auto"/>
            </w:pPr>
            <w:r>
              <w:t>Inputs for GFOI Plenary (Tom Maiersperger)</w:t>
            </w:r>
          </w:p>
          <w:p w:rsidR="00522BA3" w:rsidRDefault="00874C49">
            <w:pPr>
              <w:widowControl w:val="0"/>
              <w:numPr>
                <w:ilvl w:val="0"/>
                <w:numId w:val="3"/>
              </w:numPr>
              <w:spacing w:line="240" w:lineRule="auto"/>
            </w:pPr>
            <w:r>
              <w:t>SDCG WP impact (SDCG SEC)</w:t>
            </w:r>
          </w:p>
          <w:p w:rsidR="00522BA3" w:rsidRDefault="00874C49">
            <w:pPr>
              <w:widowControl w:val="0"/>
              <w:numPr>
                <w:ilvl w:val="0"/>
                <w:numId w:val="3"/>
              </w:numPr>
              <w:spacing w:line="240" w:lineRule="auto"/>
            </w:pPr>
            <w:r>
              <w:t>Way forward on actions</w:t>
            </w:r>
            <w:r>
              <w:tab/>
            </w:r>
            <w:r>
              <w:tab/>
            </w:r>
            <w:r>
              <w:tab/>
            </w:r>
            <w:r>
              <w:tab/>
            </w:r>
            <w:r>
              <w:tab/>
            </w:r>
          </w:p>
        </w:tc>
      </w:tr>
      <w:tr w:rsidR="00522BA3">
        <w:tc>
          <w:tcPr>
            <w:tcW w:w="1860" w:type="dxa"/>
            <w:shd w:val="clear" w:color="auto" w:fill="auto"/>
            <w:tcMar>
              <w:top w:w="100" w:type="dxa"/>
              <w:left w:w="100" w:type="dxa"/>
              <w:bottom w:w="100" w:type="dxa"/>
              <w:right w:w="100" w:type="dxa"/>
            </w:tcMar>
          </w:tcPr>
          <w:p w:rsidR="00522BA3" w:rsidRDefault="00874C49">
            <w:pPr>
              <w:widowControl w:val="0"/>
              <w:spacing w:line="240" w:lineRule="auto"/>
            </w:pPr>
            <w:r>
              <w:t>1715</w:t>
            </w:r>
          </w:p>
        </w:tc>
        <w:tc>
          <w:tcPr>
            <w:tcW w:w="7500" w:type="dxa"/>
            <w:shd w:val="clear" w:color="auto" w:fill="auto"/>
            <w:tcMar>
              <w:top w:w="100" w:type="dxa"/>
              <w:left w:w="100" w:type="dxa"/>
              <w:bottom w:w="100" w:type="dxa"/>
              <w:right w:w="100" w:type="dxa"/>
            </w:tcMar>
          </w:tcPr>
          <w:p w:rsidR="00522BA3" w:rsidRPr="00C34BE3" w:rsidRDefault="00874C49">
            <w:pPr>
              <w:widowControl w:val="0"/>
              <w:spacing w:line="240" w:lineRule="auto"/>
              <w:rPr>
                <w:b/>
              </w:rPr>
            </w:pPr>
            <w:r w:rsidRPr="00C34BE3">
              <w:rPr>
                <w:b/>
              </w:rPr>
              <w:t>Adjourn</w:t>
            </w:r>
          </w:p>
        </w:tc>
      </w:tr>
    </w:tbl>
    <w:p w:rsidR="00522BA3" w:rsidRDefault="00522BA3">
      <w:pPr>
        <w:spacing w:before="200"/>
        <w:jc w:val="both"/>
      </w:pPr>
    </w:p>
    <w:sectPr w:rsidR="00522BA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DB2" w:rsidRDefault="00DE1DB2" w:rsidP="00C34BE3">
      <w:pPr>
        <w:spacing w:line="240" w:lineRule="auto"/>
      </w:pPr>
      <w:r>
        <w:separator/>
      </w:r>
    </w:p>
  </w:endnote>
  <w:endnote w:type="continuationSeparator" w:id="0">
    <w:p w:rsidR="00DE1DB2" w:rsidRDefault="00DE1DB2" w:rsidP="00C34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DB2" w:rsidRDefault="00DE1DB2" w:rsidP="00C34BE3">
      <w:pPr>
        <w:spacing w:line="240" w:lineRule="auto"/>
      </w:pPr>
      <w:r>
        <w:separator/>
      </w:r>
    </w:p>
  </w:footnote>
  <w:footnote w:type="continuationSeparator" w:id="0">
    <w:p w:rsidR="00DE1DB2" w:rsidRDefault="00DE1DB2" w:rsidP="00C34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E3" w:rsidRDefault="00C34BE3">
    <w:pPr>
      <w:pStyle w:val="Header"/>
    </w:pPr>
    <w:r>
      <w:rPr>
        <w:noProof/>
      </w:rPr>
      <w:drawing>
        <wp:anchor distT="114300" distB="114300" distL="114300" distR="114300" simplePos="0" relativeHeight="251659264" behindDoc="0" locked="0" layoutInCell="1" hidden="0" allowOverlap="1" wp14:anchorId="7501F820" wp14:editId="6798D7D6">
          <wp:simplePos x="0" y="0"/>
          <wp:positionH relativeFrom="margin">
            <wp:posOffset>4916773</wp:posOffset>
          </wp:positionH>
          <wp:positionV relativeFrom="paragraph">
            <wp:posOffset>-237886</wp:posOffset>
          </wp:positionV>
          <wp:extent cx="1033463" cy="40907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3463" cy="409079"/>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7F8C"/>
    <w:multiLevelType w:val="multilevel"/>
    <w:tmpl w:val="F1E8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3216C3"/>
    <w:multiLevelType w:val="multilevel"/>
    <w:tmpl w:val="F0126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274AE1"/>
    <w:multiLevelType w:val="multilevel"/>
    <w:tmpl w:val="C9C4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9D5D06"/>
    <w:multiLevelType w:val="multilevel"/>
    <w:tmpl w:val="EF9C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1403BB"/>
    <w:multiLevelType w:val="multilevel"/>
    <w:tmpl w:val="A37C5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1B431B"/>
    <w:multiLevelType w:val="multilevel"/>
    <w:tmpl w:val="51CEC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22BA3"/>
    <w:rsid w:val="00435181"/>
    <w:rsid w:val="00522BA3"/>
    <w:rsid w:val="00664B97"/>
    <w:rsid w:val="008133FE"/>
    <w:rsid w:val="00827A5A"/>
    <w:rsid w:val="00874C49"/>
    <w:rsid w:val="00C34BE3"/>
    <w:rsid w:val="00D51F68"/>
    <w:rsid w:val="00DE1D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0BB465"/>
  <w15:docId w15:val="{C206DBFA-F53A-E941-BF1E-41199018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4BE3"/>
    <w:pPr>
      <w:tabs>
        <w:tab w:val="center" w:pos="4680"/>
        <w:tab w:val="right" w:pos="9360"/>
      </w:tabs>
      <w:spacing w:line="240" w:lineRule="auto"/>
    </w:pPr>
  </w:style>
  <w:style w:type="character" w:customStyle="1" w:styleId="HeaderChar">
    <w:name w:val="Header Char"/>
    <w:basedOn w:val="DefaultParagraphFont"/>
    <w:link w:val="Header"/>
    <w:uiPriority w:val="99"/>
    <w:rsid w:val="00C34BE3"/>
  </w:style>
  <w:style w:type="paragraph" w:styleId="Footer">
    <w:name w:val="footer"/>
    <w:basedOn w:val="Normal"/>
    <w:link w:val="FooterChar"/>
    <w:uiPriority w:val="99"/>
    <w:unhideWhenUsed/>
    <w:rsid w:val="00C34BE3"/>
    <w:pPr>
      <w:tabs>
        <w:tab w:val="center" w:pos="4680"/>
        <w:tab w:val="right" w:pos="9360"/>
      </w:tabs>
      <w:spacing w:line="240" w:lineRule="auto"/>
    </w:pPr>
  </w:style>
  <w:style w:type="character" w:customStyle="1" w:styleId="FooterChar">
    <w:name w:val="Footer Char"/>
    <w:basedOn w:val="DefaultParagraphFont"/>
    <w:link w:val="Footer"/>
    <w:uiPriority w:val="99"/>
    <w:rsid w:val="00C3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2019-02-19T04:20:00Z</dcterms:created>
  <dcterms:modified xsi:type="dcterms:W3CDTF">2019-02-19T08:10:00Z</dcterms:modified>
</cp:coreProperties>
</file>