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DA10B" w14:textId="34B0D398" w:rsidR="00400FCF" w:rsidRPr="00C95D87" w:rsidRDefault="006A7034" w:rsidP="002A1632">
      <w:pPr>
        <w:jc w:val="center"/>
        <w:rPr>
          <w:b/>
        </w:rPr>
      </w:pPr>
      <w:r>
        <w:rPr>
          <w:b/>
        </w:rPr>
        <w:t>CEOS Recovery Observatory</w:t>
      </w:r>
    </w:p>
    <w:p w14:paraId="2417FFAF" w14:textId="754931A6" w:rsidR="002A1632" w:rsidRDefault="006A7034" w:rsidP="002A1632">
      <w:pPr>
        <w:jc w:val="center"/>
      </w:pPr>
      <w:proofErr w:type="spellStart"/>
      <w:r>
        <w:t>Semestrial</w:t>
      </w:r>
      <w:proofErr w:type="spellEnd"/>
      <w:r>
        <w:t xml:space="preserve"> Report </w:t>
      </w:r>
      <w:r w:rsidR="008D2414">
        <w:t>Q4/2015-Q1/2016</w:t>
      </w:r>
    </w:p>
    <w:p w14:paraId="1271C6BF" w14:textId="77777777" w:rsidR="002A1632" w:rsidRDefault="002A1632"/>
    <w:p w14:paraId="31E2437C" w14:textId="77777777" w:rsidR="002A1632" w:rsidRDefault="002A16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925"/>
        <w:gridCol w:w="2548"/>
        <w:gridCol w:w="2699"/>
      </w:tblGrid>
      <w:tr w:rsidR="002A1632" w14:paraId="53E01D91" w14:textId="77777777" w:rsidTr="006A7034">
        <w:tc>
          <w:tcPr>
            <w:tcW w:w="8856" w:type="dxa"/>
            <w:gridSpan w:val="4"/>
          </w:tcPr>
          <w:p w14:paraId="5043CB6E" w14:textId="0231F64E" w:rsidR="002A1632" w:rsidRPr="002A1632" w:rsidRDefault="006A7034">
            <w:pPr>
              <w:rPr>
                <w:b/>
              </w:rPr>
            </w:pPr>
            <w:r>
              <w:rPr>
                <w:b/>
              </w:rPr>
              <w:t>Recovery Observatory – report of the Recovery Observatory Oversight Team (ROOT)</w:t>
            </w:r>
          </w:p>
        </w:tc>
      </w:tr>
      <w:tr w:rsidR="002A1632" w14:paraId="0246333D" w14:textId="77777777" w:rsidTr="002A1632">
        <w:tc>
          <w:tcPr>
            <w:tcW w:w="2952" w:type="dxa"/>
          </w:tcPr>
          <w:p w14:paraId="57DB1F03" w14:textId="46C41A98" w:rsidR="002A1632" w:rsidRDefault="008D2414">
            <w:r>
              <w:t>March 2016</w:t>
            </w:r>
          </w:p>
        </w:tc>
        <w:tc>
          <w:tcPr>
            <w:tcW w:w="2952" w:type="dxa"/>
            <w:gridSpan w:val="2"/>
          </w:tcPr>
          <w:p w14:paraId="0C41A00B" w14:textId="6C3D0831" w:rsidR="002A1632" w:rsidRDefault="008D2414">
            <w:r>
              <w:t xml:space="preserve">Catherine </w:t>
            </w:r>
            <w:proofErr w:type="spellStart"/>
            <w:r>
              <w:t>Proy</w:t>
            </w:r>
            <w:proofErr w:type="spellEnd"/>
            <w:r>
              <w:t xml:space="preserve">, </w:t>
            </w:r>
            <w:r w:rsidR="006A7034">
              <w:t>Steven Hosford, ROOT Chair (CNES)</w:t>
            </w:r>
          </w:p>
        </w:tc>
        <w:tc>
          <w:tcPr>
            <w:tcW w:w="2952" w:type="dxa"/>
          </w:tcPr>
          <w:p w14:paraId="2874E87E" w14:textId="77777777" w:rsidR="002A1632" w:rsidRDefault="002A1632">
            <w:r>
              <w:t xml:space="preserve">Collaborating </w:t>
            </w:r>
            <w:r w:rsidR="006A7034">
              <w:t>organizations:</w:t>
            </w:r>
          </w:p>
          <w:p w14:paraId="4CA57354" w14:textId="7983CFC6" w:rsidR="006A7034" w:rsidRDefault="006A7034">
            <w:r>
              <w:t xml:space="preserve">ASI, CNES, DLR, ESA, JAXA, NASA, </w:t>
            </w:r>
            <w:r w:rsidR="008D2414">
              <w:t xml:space="preserve">USGS, </w:t>
            </w:r>
            <w:r>
              <w:t>UNOSAT, UNDP, GFDRR</w:t>
            </w:r>
            <w:r w:rsidR="006B1EC1">
              <w:t>, EC</w:t>
            </w:r>
          </w:p>
        </w:tc>
      </w:tr>
      <w:tr w:rsidR="002A1632" w14:paraId="7456A4E7" w14:textId="77777777" w:rsidTr="006A7034">
        <w:tc>
          <w:tcPr>
            <w:tcW w:w="8856" w:type="dxa"/>
            <w:gridSpan w:val="4"/>
          </w:tcPr>
          <w:p w14:paraId="5A2856D8" w14:textId="12DD8260" w:rsidR="002A1632" w:rsidRDefault="002A1632">
            <w:r w:rsidRPr="002A1632">
              <w:rPr>
                <w:b/>
              </w:rPr>
              <w:t>Achievements:</w:t>
            </w:r>
            <w:r w:rsidR="006A7034">
              <w:t xml:space="preserve"> </w:t>
            </w:r>
          </w:p>
          <w:p w14:paraId="50C6D744" w14:textId="77777777" w:rsidR="006B1EC1" w:rsidRDefault="006B1EC1" w:rsidP="006A7034">
            <w:pPr>
              <w:pStyle w:val="ListParagraph"/>
              <w:numPr>
                <w:ilvl w:val="0"/>
                <w:numId w:val="1"/>
              </w:numPr>
            </w:pPr>
            <w:r>
              <w:t>New members joined in fall 2015: USGS and EC</w:t>
            </w:r>
          </w:p>
          <w:p w14:paraId="36D7F26C" w14:textId="0A5D31F0" w:rsidR="006A7034" w:rsidRDefault="006A7034" w:rsidP="006A7034">
            <w:pPr>
              <w:pStyle w:val="ListParagraph"/>
              <w:numPr>
                <w:ilvl w:val="0"/>
                <w:numId w:val="1"/>
              </w:numPr>
            </w:pPr>
            <w:r>
              <w:t xml:space="preserve">IT infrastructure </w:t>
            </w:r>
            <w:r w:rsidR="006B1EC1">
              <w:t>updated fall 2015 with new data formats</w:t>
            </w:r>
            <w:r>
              <w:t xml:space="preserve"> – RO is ready to be triggered if required</w:t>
            </w:r>
          </w:p>
          <w:p w14:paraId="22C55D34" w14:textId="6FCE292B" w:rsidR="006A7034" w:rsidRDefault="006B1EC1" w:rsidP="006A7034">
            <w:pPr>
              <w:pStyle w:val="ListParagraph"/>
              <w:numPr>
                <w:ilvl w:val="0"/>
                <w:numId w:val="1"/>
              </w:numPr>
            </w:pPr>
            <w:r>
              <w:t>Formal triggering procedure approved by 2015 Plenary November 2015</w:t>
            </w:r>
          </w:p>
          <w:p w14:paraId="02FEA670" w14:textId="44D029C8" w:rsidR="00900E66" w:rsidRPr="004B692E" w:rsidRDefault="004B692E" w:rsidP="004B692E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 w:rsidRPr="004B692E">
              <w:t xml:space="preserve">Agreement in Washington at working session </w:t>
            </w:r>
            <w:r>
              <w:t>(held Dec 10</w:t>
            </w:r>
            <w:r w:rsidRPr="004B692E">
              <w:rPr>
                <w:vertAlign w:val="superscript"/>
              </w:rPr>
              <w:t>th</w:t>
            </w:r>
            <w:r>
              <w:t xml:space="preserve"> in Washington, DC) </w:t>
            </w:r>
            <w:r w:rsidRPr="004B692E">
              <w:t>to explore possible “demonstrator” that would showcase EO-based products and demonstrate savings or improved results from satellites</w:t>
            </w:r>
          </w:p>
          <w:p w14:paraId="7E43BF25" w14:textId="77777777" w:rsidR="00900E66" w:rsidRPr="004B692E" w:rsidRDefault="004B692E" w:rsidP="004B692E">
            <w:pPr>
              <w:pStyle w:val="ListParagraph"/>
              <w:numPr>
                <w:ilvl w:val="1"/>
                <w:numId w:val="1"/>
              </w:numPr>
              <w:rPr>
                <w:lang w:val="en-CA"/>
              </w:rPr>
            </w:pPr>
            <w:r w:rsidRPr="004B692E">
              <w:t>Several possible pilot locations discussed, including Malawi, Mozambique, India, Vanuatu, Dominica, Niger, and others</w:t>
            </w:r>
          </w:p>
          <w:p w14:paraId="0808F1F2" w14:textId="77777777" w:rsidR="00900E66" w:rsidRPr="004B692E" w:rsidRDefault="004B692E" w:rsidP="004B692E">
            <w:pPr>
              <w:pStyle w:val="ListParagraph"/>
              <w:numPr>
                <w:ilvl w:val="1"/>
                <w:numId w:val="1"/>
              </w:numPr>
              <w:rPr>
                <w:lang w:val="en-CA"/>
              </w:rPr>
            </w:pPr>
            <w:r w:rsidRPr="004B692E">
              <w:t>WB/GFDRR sent project level documents for analysis of potential EO-contribution</w:t>
            </w:r>
          </w:p>
          <w:p w14:paraId="5A3692ED" w14:textId="77777777" w:rsidR="00900E66" w:rsidRPr="004B692E" w:rsidRDefault="004B692E" w:rsidP="004B692E">
            <w:pPr>
              <w:pStyle w:val="ListParagraph"/>
              <w:numPr>
                <w:ilvl w:val="1"/>
                <w:numId w:val="1"/>
              </w:numPr>
              <w:rPr>
                <w:lang w:val="en-CA"/>
              </w:rPr>
            </w:pPr>
            <w:r w:rsidRPr="004B692E">
              <w:t>Short list of India, Mozambique and Malawi established</w:t>
            </w:r>
          </w:p>
          <w:p w14:paraId="7AAF68E8" w14:textId="77777777" w:rsidR="00900E66" w:rsidRPr="004B692E" w:rsidRDefault="004B692E" w:rsidP="004B692E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 w:rsidRPr="004B692E">
              <w:t>Discussion with GFDRR led to selection of Malawi as first possible demonstrator</w:t>
            </w:r>
          </w:p>
          <w:p w14:paraId="3658922E" w14:textId="77777777" w:rsidR="00900E66" w:rsidRPr="004B692E" w:rsidRDefault="004B692E" w:rsidP="004B692E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 w:rsidRPr="004B692E">
              <w:t>Discussions engaged with local and DC-based Bank personnel to confirm Malawi government interest</w:t>
            </w:r>
          </w:p>
          <w:p w14:paraId="65CA098E" w14:textId="68047E34" w:rsidR="006B1EC1" w:rsidRDefault="004B692E" w:rsidP="006A7034">
            <w:pPr>
              <w:pStyle w:val="ListParagraph"/>
              <w:numPr>
                <w:ilvl w:val="0"/>
                <w:numId w:val="1"/>
              </w:numPr>
            </w:pPr>
            <w:r>
              <w:t>Malawi collaboration to begin in March – possible pre-cursor to RO triggering, or limited to demonstrator; review in June/September 2016</w:t>
            </w:r>
          </w:p>
          <w:p w14:paraId="73B14FFD" w14:textId="77777777" w:rsidR="002A1632" w:rsidRDefault="002A1632"/>
        </w:tc>
      </w:tr>
      <w:tr w:rsidR="002A1632" w14:paraId="73761A6A" w14:textId="77777777" w:rsidTr="006A7034">
        <w:tc>
          <w:tcPr>
            <w:tcW w:w="8856" w:type="dxa"/>
            <w:gridSpan w:val="4"/>
          </w:tcPr>
          <w:p w14:paraId="3B0125D5" w14:textId="628C659A" w:rsidR="002A1632" w:rsidRDefault="002A1632">
            <w:r w:rsidRPr="002A1632">
              <w:rPr>
                <w:b/>
              </w:rPr>
              <w:t>Activities</w:t>
            </w:r>
            <w:r w:rsidR="004B692E">
              <w:rPr>
                <w:b/>
              </w:rPr>
              <w:t xml:space="preserve"> and Status</w:t>
            </w:r>
            <w:r w:rsidR="006A7034">
              <w:t xml:space="preserve">: </w:t>
            </w:r>
          </w:p>
          <w:p w14:paraId="21E56BC8" w14:textId="77777777" w:rsidR="00537F26" w:rsidRPr="004B692E" w:rsidRDefault="00537F26" w:rsidP="00537F26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4B692E">
              <w:rPr>
                <w:lang w:val="en-GB"/>
              </w:rPr>
              <w:t>Recovery Observatory ready for triggering since 1 January, 2015</w:t>
            </w:r>
          </w:p>
          <w:p w14:paraId="7964A069" w14:textId="77777777" w:rsidR="00537F26" w:rsidRPr="004B692E" w:rsidRDefault="00537F26" w:rsidP="00537F26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4B692E">
              <w:rPr>
                <w:lang w:val="en-GB"/>
              </w:rPr>
              <w:t>Collaboration attempted on Cyclone Pam (Vanuatu, March/April 2015 – see Lessons Learned Report), highlighting contradictions between Rapid Assessment and Recovery support;</w:t>
            </w:r>
          </w:p>
          <w:p w14:paraId="246AC44C" w14:textId="77777777" w:rsidR="00537F26" w:rsidRPr="004B692E" w:rsidRDefault="00537F26" w:rsidP="00537F26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4B692E">
              <w:rPr>
                <w:lang w:val="en-GB"/>
              </w:rPr>
              <w:t>Working session held with DRM stakeholders (GFDRR, WB, UNDP) in Washington December 2015;</w:t>
            </w:r>
          </w:p>
          <w:p w14:paraId="2EF95DAB" w14:textId="77777777" w:rsidR="00537F26" w:rsidRPr="004B692E" w:rsidRDefault="00537F26" w:rsidP="00537F26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4B692E">
              <w:rPr>
                <w:lang w:val="en-GB"/>
              </w:rPr>
              <w:t>CNES-commissioned study on RO product definition and image requirements presented to DRM stakeholders (not finalized);</w:t>
            </w:r>
          </w:p>
          <w:p w14:paraId="2F8B3C98" w14:textId="77777777" w:rsidR="00537F26" w:rsidRPr="004B692E" w:rsidRDefault="00537F26" w:rsidP="00537F26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4B692E">
              <w:rPr>
                <w:lang w:val="en-GB"/>
              </w:rPr>
              <w:t>Demonstration to begin March 2016 (Malawi);</w:t>
            </w:r>
          </w:p>
          <w:p w14:paraId="0BA05409" w14:textId="77777777" w:rsidR="00537F26" w:rsidRPr="004B692E" w:rsidRDefault="00537F26" w:rsidP="00537F26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4B692E">
              <w:rPr>
                <w:lang w:val="en-GB"/>
              </w:rPr>
              <w:t xml:space="preserve">Triggering of the RO after a major event or as follow-on to demonstration work in Malawi (in 2016); </w:t>
            </w:r>
          </w:p>
          <w:p w14:paraId="20C49551" w14:textId="77777777" w:rsidR="00537F26" w:rsidRPr="004B692E" w:rsidRDefault="00537F26" w:rsidP="00537F26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4B692E">
              <w:rPr>
                <w:lang w:val="en-GB"/>
              </w:rPr>
              <w:t>Evaluation at RO + 6 months;</w:t>
            </w:r>
          </w:p>
          <w:p w14:paraId="471B0AB2" w14:textId="1261D171" w:rsidR="002A1632" w:rsidRPr="004B692E" w:rsidRDefault="00537F26" w:rsidP="004B692E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4B692E">
              <w:rPr>
                <w:lang w:val="en-GB"/>
              </w:rPr>
              <w:lastRenderedPageBreak/>
              <w:t>Lessons learned and sustainability strategy after evaluation of 1</w:t>
            </w:r>
            <w:r w:rsidRPr="004B692E">
              <w:rPr>
                <w:vertAlign w:val="superscript"/>
                <w:lang w:val="en-GB"/>
              </w:rPr>
              <w:t>st</w:t>
            </w:r>
            <w:r w:rsidRPr="004B692E">
              <w:rPr>
                <w:lang w:val="en-GB"/>
              </w:rPr>
              <w:t xml:space="preserve"> RO</w:t>
            </w:r>
          </w:p>
        </w:tc>
      </w:tr>
      <w:tr w:rsidR="002A1632" w14:paraId="71840C63" w14:textId="77777777" w:rsidTr="004B692E">
        <w:tc>
          <w:tcPr>
            <w:tcW w:w="4077" w:type="dxa"/>
            <w:gridSpan w:val="2"/>
          </w:tcPr>
          <w:p w14:paraId="14E05251" w14:textId="77777777" w:rsidR="002A1632" w:rsidRPr="002A1632" w:rsidRDefault="002A1632">
            <w:r w:rsidRPr="002A1632">
              <w:rPr>
                <w:b/>
              </w:rPr>
              <w:lastRenderedPageBreak/>
              <w:t>Data accessed this Q</w:t>
            </w:r>
            <w:r w:rsidRPr="002A1632">
              <w:t xml:space="preserve"> (#images /satellite)</w:t>
            </w:r>
          </w:p>
          <w:p w14:paraId="7CC2A000" w14:textId="77777777" w:rsidR="002A1632" w:rsidRPr="002A1632" w:rsidRDefault="002A1632"/>
          <w:p w14:paraId="51811124" w14:textId="1B5A75FF" w:rsidR="002A1632" w:rsidRPr="002A1632" w:rsidRDefault="006A7034">
            <w:r>
              <w:t xml:space="preserve">No new data accessed or programmed; </w:t>
            </w:r>
            <w:proofErr w:type="spellStart"/>
            <w:r>
              <w:t>Kal</w:t>
            </w:r>
            <w:proofErr w:type="spellEnd"/>
            <w:r>
              <w:t>-Haiti data set uploaded to demonstration version of</w:t>
            </w:r>
            <w:r w:rsidR="00064C8B">
              <w:t xml:space="preserve"> RO for data sampling</w:t>
            </w:r>
            <w:r w:rsidR="004B692E">
              <w:t>; data will be used in Malawi (both archived imagery and new acquisitions) – will be reported next semester</w:t>
            </w:r>
          </w:p>
          <w:p w14:paraId="5F7B76B5" w14:textId="77777777" w:rsidR="002A1632" w:rsidRPr="002A1632" w:rsidRDefault="002A1632"/>
          <w:p w14:paraId="1E85D56C" w14:textId="77777777" w:rsidR="002A1632" w:rsidRPr="002A1632" w:rsidRDefault="002A1632"/>
        </w:tc>
        <w:tc>
          <w:tcPr>
            <w:tcW w:w="4779" w:type="dxa"/>
            <w:gridSpan w:val="2"/>
          </w:tcPr>
          <w:p w14:paraId="384CC247" w14:textId="77777777" w:rsidR="002A1632" w:rsidRDefault="002A1632" w:rsidP="002A1632">
            <w:r w:rsidRPr="002A1632">
              <w:rPr>
                <w:b/>
              </w:rPr>
              <w:t>Total data accessed to date</w:t>
            </w:r>
            <w:r w:rsidRPr="002A1632">
              <w:t xml:space="preserve"> (#images /satellite)</w:t>
            </w:r>
          </w:p>
          <w:p w14:paraId="73C5F515" w14:textId="77777777" w:rsidR="006A7034" w:rsidRDefault="006A7034" w:rsidP="002A1632"/>
          <w:p w14:paraId="0F5957A5" w14:textId="2A9A84CA" w:rsidR="006A7034" w:rsidRPr="002A1632" w:rsidRDefault="006A7034" w:rsidP="002A1632">
            <w:r>
              <w:t>N/A</w:t>
            </w:r>
          </w:p>
        </w:tc>
      </w:tr>
      <w:tr w:rsidR="002A1632" w14:paraId="04F81B60" w14:textId="77777777" w:rsidTr="004B692E">
        <w:tc>
          <w:tcPr>
            <w:tcW w:w="4077" w:type="dxa"/>
            <w:gridSpan w:val="2"/>
          </w:tcPr>
          <w:p w14:paraId="42044B2A" w14:textId="39C451D1" w:rsidR="002A1632" w:rsidRDefault="002A1632">
            <w:r w:rsidRPr="002A1632">
              <w:rPr>
                <w:b/>
              </w:rPr>
              <w:t>Products:</w:t>
            </w:r>
            <w:r w:rsidR="006A7034">
              <w:t xml:space="preserve"> </w:t>
            </w:r>
          </w:p>
          <w:p w14:paraId="71DC1BB0" w14:textId="0B4A2C81" w:rsidR="006A7034" w:rsidRDefault="004B692E">
            <w:r>
              <w:t>Sample products planned for March 2016</w:t>
            </w:r>
          </w:p>
        </w:tc>
        <w:tc>
          <w:tcPr>
            <w:tcW w:w="1827" w:type="dxa"/>
          </w:tcPr>
          <w:p w14:paraId="03AE3B4A" w14:textId="77777777" w:rsidR="006A7034" w:rsidRDefault="002A1632">
            <w:pPr>
              <w:rPr>
                <w:b/>
              </w:rPr>
            </w:pPr>
            <w:r w:rsidRPr="002A1632">
              <w:rPr>
                <w:b/>
              </w:rPr>
              <w:t>User</w:t>
            </w:r>
          </w:p>
          <w:p w14:paraId="241F142B" w14:textId="2DF54921" w:rsidR="002A1632" w:rsidRDefault="004B692E">
            <w:proofErr w:type="spellStart"/>
            <w:r>
              <w:rPr>
                <w:b/>
              </w:rPr>
              <w:t>DoDMA</w:t>
            </w:r>
            <w:proofErr w:type="spellEnd"/>
            <w:r>
              <w:rPr>
                <w:b/>
              </w:rPr>
              <w:t>/Government of Malawi</w:t>
            </w:r>
            <w:r w:rsidR="002A1632">
              <w:t xml:space="preserve"> </w:t>
            </w:r>
          </w:p>
        </w:tc>
        <w:tc>
          <w:tcPr>
            <w:tcW w:w="2952" w:type="dxa"/>
          </w:tcPr>
          <w:p w14:paraId="360335EE" w14:textId="77777777" w:rsidR="002A1632" w:rsidRDefault="002A1632" w:rsidP="006A7034">
            <w:pPr>
              <w:rPr>
                <w:b/>
              </w:rPr>
            </w:pPr>
            <w:r w:rsidRPr="002A1632">
              <w:rPr>
                <w:b/>
              </w:rPr>
              <w:t xml:space="preserve">User </w:t>
            </w:r>
            <w:r w:rsidR="00072586">
              <w:rPr>
                <w:b/>
              </w:rPr>
              <w:t xml:space="preserve">or practitioner </w:t>
            </w:r>
            <w:r w:rsidRPr="002A1632">
              <w:rPr>
                <w:b/>
              </w:rPr>
              <w:t>endorsement</w:t>
            </w:r>
          </w:p>
          <w:p w14:paraId="57557862" w14:textId="3438B51E" w:rsidR="004B692E" w:rsidRDefault="004B692E" w:rsidP="006A7034">
            <w:r>
              <w:rPr>
                <w:b/>
              </w:rPr>
              <w:t>N/A</w:t>
            </w:r>
          </w:p>
        </w:tc>
      </w:tr>
      <w:tr w:rsidR="002A1632" w14:paraId="6A17EE10" w14:textId="77777777" w:rsidTr="006A7034">
        <w:tc>
          <w:tcPr>
            <w:tcW w:w="8856" w:type="dxa"/>
            <w:gridSpan w:val="4"/>
          </w:tcPr>
          <w:p w14:paraId="1A23CA63" w14:textId="18EEDFBA" w:rsidR="002A1632" w:rsidRDefault="00C333A0" w:rsidP="00C333A0">
            <w:r>
              <w:t>Dissemination: will contribute to CEOS session at UR May 2016</w:t>
            </w:r>
          </w:p>
        </w:tc>
      </w:tr>
      <w:tr w:rsidR="002A1632" w14:paraId="2EE59A9C" w14:textId="77777777" w:rsidTr="006A7034">
        <w:tc>
          <w:tcPr>
            <w:tcW w:w="8856" w:type="dxa"/>
            <w:gridSpan w:val="4"/>
          </w:tcPr>
          <w:p w14:paraId="3314BB33" w14:textId="25DBB8DB" w:rsidR="002A1632" w:rsidRPr="006A7034" w:rsidRDefault="002A1632">
            <w:pPr>
              <w:rPr>
                <w:b/>
              </w:rPr>
            </w:pPr>
            <w:r w:rsidRPr="006A7034">
              <w:rPr>
                <w:b/>
              </w:rPr>
              <w:t>List objective milestones and state progress to date (%)</w:t>
            </w:r>
          </w:p>
          <w:p w14:paraId="3D5E4FC5" w14:textId="77777777" w:rsidR="002A1632" w:rsidRDefault="002A1632"/>
          <w:p w14:paraId="662713E7" w14:textId="5DABA6BB" w:rsidR="002A1632" w:rsidRDefault="006A7034">
            <w:r>
              <w:t xml:space="preserve">Cooperation on support to </w:t>
            </w:r>
            <w:r w:rsidR="00C333A0">
              <w:t>recovery efforts</w:t>
            </w:r>
            <w:r w:rsidR="00064C8B">
              <w:t xml:space="preserve"> – </w:t>
            </w:r>
            <w:r w:rsidR="00C333A0">
              <w:t>planned and begun 3</w:t>
            </w:r>
            <w:r>
              <w:t>0%</w:t>
            </w:r>
          </w:p>
          <w:p w14:paraId="6A94F27B" w14:textId="2B0CA10C" w:rsidR="006A7034" w:rsidRDefault="00C333A0">
            <w:r>
              <w:t>New c</w:t>
            </w:r>
            <w:r w:rsidR="005D2CB6">
              <w:t xml:space="preserve">ollaboration </w:t>
            </w:r>
            <w:r>
              <w:t>begun early 2016 after December working session in DC</w:t>
            </w:r>
          </w:p>
          <w:p w14:paraId="673CE2F5" w14:textId="77777777" w:rsidR="006A7034" w:rsidRDefault="006A7034"/>
          <w:p w14:paraId="098F0BCA" w14:textId="058A25CE" w:rsidR="002A1632" w:rsidRDefault="006A7034">
            <w:r>
              <w:t>Establishme</w:t>
            </w:r>
            <w:r w:rsidR="00F351D2">
              <w:t>nt of RO IT infrastructure – 80</w:t>
            </w:r>
            <w:r>
              <w:t>% for v2</w:t>
            </w:r>
            <w:r w:rsidR="005D2CB6">
              <w:t xml:space="preserve"> (</w:t>
            </w:r>
            <w:r w:rsidR="00C333A0">
              <w:t xml:space="preserve">including </w:t>
            </w:r>
            <w:r w:rsidR="005D2CB6">
              <w:t>new data format work</w:t>
            </w:r>
            <w:r w:rsidR="00C333A0">
              <w:t>; sample database established for Haiti</w:t>
            </w:r>
            <w:r w:rsidR="005D2CB6">
              <w:t>)</w:t>
            </w:r>
            <w:bookmarkStart w:id="0" w:name="_GoBack"/>
            <w:bookmarkEnd w:id="0"/>
          </w:p>
          <w:p w14:paraId="4FC40AF8" w14:textId="77777777" w:rsidR="002A1632" w:rsidRDefault="002A1632"/>
        </w:tc>
      </w:tr>
      <w:tr w:rsidR="008E4FD1" w14:paraId="1C772428" w14:textId="77777777" w:rsidTr="006A7034">
        <w:tc>
          <w:tcPr>
            <w:tcW w:w="8856" w:type="dxa"/>
            <w:gridSpan w:val="4"/>
          </w:tcPr>
          <w:p w14:paraId="39692B03" w14:textId="334F0299" w:rsidR="008E4FD1" w:rsidRPr="00064C8B" w:rsidRDefault="008E4FD1">
            <w:pPr>
              <w:rPr>
                <w:b/>
              </w:rPr>
            </w:pPr>
            <w:r w:rsidRPr="00064C8B">
              <w:rPr>
                <w:b/>
              </w:rPr>
              <w:t>Issues identified and risk management approach</w:t>
            </w:r>
          </w:p>
          <w:p w14:paraId="12A3F1DA" w14:textId="4D2F6ECE" w:rsidR="008E4FD1" w:rsidRDefault="00E0184F" w:rsidP="00E0184F">
            <w:pPr>
              <w:pStyle w:val="ListParagraph"/>
              <w:numPr>
                <w:ilvl w:val="0"/>
                <w:numId w:val="3"/>
              </w:numPr>
            </w:pPr>
            <w:r>
              <w:t>Value adding contributions will be critical and will require some fund</w:t>
            </w:r>
            <w:r w:rsidR="005D2CB6">
              <w:t xml:space="preserve">ing still to be identified </w:t>
            </w:r>
            <w:r>
              <w:t xml:space="preserve">either </w:t>
            </w:r>
            <w:r w:rsidR="005D2CB6">
              <w:t xml:space="preserve">from </w:t>
            </w:r>
            <w:r>
              <w:t xml:space="preserve">stakeholders, satellite agencies or other supporters of RO. ROOT secretariat has begun informal discussions with potential contributors. Further discussions </w:t>
            </w:r>
            <w:r w:rsidR="005D2CB6">
              <w:t>necessary</w:t>
            </w:r>
            <w:r>
              <w:t>.</w:t>
            </w:r>
          </w:p>
          <w:p w14:paraId="78B8C653" w14:textId="77777777" w:rsidR="00E0184F" w:rsidRDefault="00E0184F" w:rsidP="00E0184F">
            <w:pPr>
              <w:pStyle w:val="ListParagraph"/>
            </w:pPr>
          </w:p>
          <w:p w14:paraId="32042E1B" w14:textId="05538F7B" w:rsidR="008E4FD1" w:rsidRDefault="00E0184F" w:rsidP="00C333A0">
            <w:pPr>
              <w:pStyle w:val="ListParagraph"/>
              <w:numPr>
                <w:ilvl w:val="0"/>
                <w:numId w:val="3"/>
              </w:numPr>
            </w:pPr>
            <w:r>
              <w:t>Data licensing harmonization remains an issue but not a showstopper.</w:t>
            </w:r>
          </w:p>
          <w:p w14:paraId="6A1AF6F2" w14:textId="77777777" w:rsidR="004B692E" w:rsidRDefault="004B692E" w:rsidP="004B692E"/>
          <w:p w14:paraId="7E890893" w14:textId="7E5F99C2" w:rsidR="004B692E" w:rsidRDefault="004B692E" w:rsidP="00C333A0">
            <w:pPr>
              <w:pStyle w:val="ListParagraph"/>
              <w:numPr>
                <w:ilvl w:val="0"/>
                <w:numId w:val="3"/>
              </w:numPr>
            </w:pPr>
            <w:r>
              <w:t>Malawi collaboration relies on strong end user input, which is critical to success.</w:t>
            </w:r>
          </w:p>
          <w:p w14:paraId="65698744" w14:textId="77777777" w:rsidR="008E4FD1" w:rsidRDefault="008E4FD1"/>
        </w:tc>
      </w:tr>
    </w:tbl>
    <w:p w14:paraId="21B2CDF4" w14:textId="77777777" w:rsidR="002A1632" w:rsidRDefault="002A1632" w:rsidP="00C95D87"/>
    <w:sectPr w:rsidR="002A1632" w:rsidSect="00376269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B67A1" w14:textId="77777777" w:rsidR="00537F26" w:rsidRDefault="00537F26" w:rsidP="00E0184F">
      <w:r>
        <w:separator/>
      </w:r>
    </w:p>
  </w:endnote>
  <w:endnote w:type="continuationSeparator" w:id="0">
    <w:p w14:paraId="10CA9489" w14:textId="77777777" w:rsidR="00537F26" w:rsidRDefault="00537F26" w:rsidP="00E0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9A9D1" w14:textId="77777777" w:rsidR="00537F26" w:rsidRDefault="00537F26" w:rsidP="00537F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BBF959" w14:textId="77777777" w:rsidR="00537F26" w:rsidRDefault="00537F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74209" w14:textId="77777777" w:rsidR="00537F26" w:rsidRDefault="00537F26" w:rsidP="00537F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51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0A5DA4" w14:textId="77777777" w:rsidR="00537F26" w:rsidRDefault="00537F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65D50" w14:textId="77777777" w:rsidR="00537F26" w:rsidRDefault="00537F26" w:rsidP="00E0184F">
      <w:r>
        <w:separator/>
      </w:r>
    </w:p>
  </w:footnote>
  <w:footnote w:type="continuationSeparator" w:id="0">
    <w:p w14:paraId="4937DC70" w14:textId="77777777" w:rsidR="00537F26" w:rsidRDefault="00537F26" w:rsidP="00E0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93A"/>
    <w:multiLevelType w:val="hybridMultilevel"/>
    <w:tmpl w:val="4C12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6766C"/>
    <w:multiLevelType w:val="hybridMultilevel"/>
    <w:tmpl w:val="AAC61E70"/>
    <w:lvl w:ilvl="0" w:tplc="32DA5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C5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86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62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FA2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A3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AD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0D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AE9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E15921"/>
    <w:multiLevelType w:val="hybridMultilevel"/>
    <w:tmpl w:val="169C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50910"/>
    <w:multiLevelType w:val="hybridMultilevel"/>
    <w:tmpl w:val="D8F2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A2521"/>
    <w:multiLevelType w:val="hybridMultilevel"/>
    <w:tmpl w:val="1C8451AA"/>
    <w:lvl w:ilvl="0" w:tplc="4DE6D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635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07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24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2A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88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82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23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88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32"/>
    <w:rsid w:val="00064C8B"/>
    <w:rsid w:val="00072586"/>
    <w:rsid w:val="000C59D3"/>
    <w:rsid w:val="002A1632"/>
    <w:rsid w:val="00376269"/>
    <w:rsid w:val="003766F2"/>
    <w:rsid w:val="00400FCF"/>
    <w:rsid w:val="004B692E"/>
    <w:rsid w:val="004C45F1"/>
    <w:rsid w:val="00537F26"/>
    <w:rsid w:val="005D2CB6"/>
    <w:rsid w:val="006A7034"/>
    <w:rsid w:val="006B1EC1"/>
    <w:rsid w:val="006D0915"/>
    <w:rsid w:val="00765ADF"/>
    <w:rsid w:val="008D2414"/>
    <w:rsid w:val="008E4FD1"/>
    <w:rsid w:val="00900E66"/>
    <w:rsid w:val="009F6AF9"/>
    <w:rsid w:val="00BA1DD8"/>
    <w:rsid w:val="00C333A0"/>
    <w:rsid w:val="00C95D87"/>
    <w:rsid w:val="00E0184F"/>
    <w:rsid w:val="00E67578"/>
    <w:rsid w:val="00F3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0756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0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18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84F"/>
  </w:style>
  <w:style w:type="character" w:styleId="PageNumber">
    <w:name w:val="page number"/>
    <w:basedOn w:val="DefaultParagraphFont"/>
    <w:uiPriority w:val="99"/>
    <w:semiHidden/>
    <w:unhideWhenUsed/>
    <w:rsid w:val="00E0184F"/>
  </w:style>
  <w:style w:type="paragraph" w:styleId="BalloonText">
    <w:name w:val="Balloon Text"/>
    <w:basedOn w:val="Normal"/>
    <w:link w:val="BalloonTextChar"/>
    <w:uiPriority w:val="99"/>
    <w:semiHidden/>
    <w:unhideWhenUsed/>
    <w:rsid w:val="00765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0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18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84F"/>
  </w:style>
  <w:style w:type="character" w:styleId="PageNumber">
    <w:name w:val="page number"/>
    <w:basedOn w:val="DefaultParagraphFont"/>
    <w:uiPriority w:val="99"/>
    <w:semiHidden/>
    <w:unhideWhenUsed/>
    <w:rsid w:val="00E0184F"/>
  </w:style>
  <w:style w:type="paragraph" w:styleId="BalloonText">
    <w:name w:val="Balloon Text"/>
    <w:basedOn w:val="Normal"/>
    <w:link w:val="BalloonTextChar"/>
    <w:uiPriority w:val="99"/>
    <w:semiHidden/>
    <w:unhideWhenUsed/>
    <w:rsid w:val="00765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9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150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516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536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37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022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447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619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055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2835</Characters>
  <Application>Microsoft Macintosh Word</Application>
  <DocSecurity>0</DocSecurity>
  <Lines>61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Athena Global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Eddy</dc:creator>
  <cp:lastModifiedBy>Andrew Eddy</cp:lastModifiedBy>
  <cp:revision>3</cp:revision>
  <dcterms:created xsi:type="dcterms:W3CDTF">2016-03-09T08:00:00Z</dcterms:created>
  <dcterms:modified xsi:type="dcterms:W3CDTF">2016-03-09T08:00:00Z</dcterms:modified>
</cp:coreProperties>
</file>