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4D2" w:rsidRPr="00BB5148" w:rsidRDefault="006264D2" w:rsidP="006264D2">
      <w:pPr>
        <w:shd w:val="clear" w:color="auto" w:fill="FFFFFF"/>
        <w:spacing w:after="0" w:line="240" w:lineRule="auto"/>
        <w:rPr>
          <w:rFonts w:eastAsia="Times New Roman" w:cs="Arial"/>
          <w:color w:val="222222"/>
          <w:sz w:val="24"/>
          <w:szCs w:val="24"/>
        </w:rPr>
      </w:pPr>
      <w:r w:rsidRPr="00BB5148">
        <w:rPr>
          <w:rFonts w:eastAsia="Times New Roman" w:cs="Arial"/>
          <w:color w:val="222222"/>
          <w:sz w:val="24"/>
          <w:szCs w:val="24"/>
        </w:rPr>
        <w:t>CEOS-CGMS ECV Inventory Life Cycle – Process, Configuration, and Roles and Responsibilities</w:t>
      </w:r>
    </w:p>
    <w:p w:rsidR="006264D2" w:rsidRPr="00BB5148" w:rsidRDefault="006264D2" w:rsidP="006264D2">
      <w:pPr>
        <w:shd w:val="clear" w:color="auto" w:fill="FFFFFF"/>
        <w:spacing w:after="0" w:line="240" w:lineRule="auto"/>
        <w:rPr>
          <w:rFonts w:eastAsia="Times New Roman" w:cs="Arial"/>
          <w:color w:val="222222"/>
          <w:sz w:val="24"/>
          <w:szCs w:val="24"/>
        </w:rPr>
      </w:pPr>
    </w:p>
    <w:p w:rsidR="006264D2" w:rsidRPr="00BB5148" w:rsidRDefault="006264D2" w:rsidP="006264D2">
      <w:pPr>
        <w:shd w:val="clear" w:color="auto" w:fill="FFFFFF"/>
        <w:spacing w:after="0" w:line="240" w:lineRule="auto"/>
        <w:rPr>
          <w:rFonts w:eastAsia="Times New Roman" w:cs="Arial"/>
          <w:color w:val="222222"/>
          <w:sz w:val="24"/>
          <w:szCs w:val="24"/>
        </w:rPr>
      </w:pPr>
      <w:r w:rsidRPr="00BB5148">
        <w:rPr>
          <w:rFonts w:eastAsia="Times New Roman" w:cs="Arial"/>
          <w:color w:val="222222"/>
          <w:sz w:val="24"/>
          <w:szCs w:val="24"/>
        </w:rPr>
        <w:t>Draft V0</w:t>
      </w:r>
      <w:r w:rsidR="00093C2E" w:rsidRPr="00BB5148">
        <w:rPr>
          <w:rFonts w:eastAsia="Times New Roman" w:cs="Arial"/>
          <w:color w:val="222222"/>
          <w:sz w:val="24"/>
          <w:szCs w:val="24"/>
        </w:rPr>
        <w:t>.1</w:t>
      </w:r>
      <w:r w:rsidRPr="00BB5148">
        <w:rPr>
          <w:rFonts w:eastAsia="Times New Roman" w:cs="Arial"/>
          <w:color w:val="222222"/>
          <w:sz w:val="24"/>
          <w:szCs w:val="24"/>
        </w:rPr>
        <w:t xml:space="preserve"> – John Bates 11/12/2014</w:t>
      </w:r>
    </w:p>
    <w:p w:rsidR="006264D2" w:rsidRPr="00BB5148" w:rsidRDefault="006264D2" w:rsidP="006264D2">
      <w:pPr>
        <w:shd w:val="clear" w:color="auto" w:fill="FFFFFF"/>
        <w:spacing w:after="0" w:line="240" w:lineRule="auto"/>
        <w:rPr>
          <w:rFonts w:eastAsia="Times New Roman" w:cs="Arial"/>
          <w:color w:val="222222"/>
          <w:sz w:val="24"/>
          <w:szCs w:val="24"/>
        </w:rPr>
      </w:pPr>
    </w:p>
    <w:p w:rsidR="006264D2" w:rsidRPr="00BB5148" w:rsidRDefault="006264D2" w:rsidP="006264D2">
      <w:pPr>
        <w:shd w:val="clear" w:color="auto" w:fill="FFFFFF"/>
        <w:spacing w:after="0" w:line="240" w:lineRule="auto"/>
        <w:rPr>
          <w:rFonts w:eastAsia="Times New Roman" w:cs="Arial"/>
          <w:color w:val="222222"/>
          <w:sz w:val="24"/>
          <w:szCs w:val="24"/>
        </w:rPr>
      </w:pPr>
      <w:r w:rsidRPr="00BB5148">
        <w:rPr>
          <w:rFonts w:eastAsia="Times New Roman" w:cs="Arial"/>
          <w:color w:val="222222"/>
          <w:sz w:val="24"/>
          <w:szCs w:val="24"/>
        </w:rPr>
        <w:t>This is meant to be a living document that captures the progress on several distinct, but related aspects of the ECV Inventory.  The steps involved in the iterative process of collecting, configuration management and control, assessment, gap analysis, and proposed mitigation are shown graphically in figure 1.</w:t>
      </w:r>
    </w:p>
    <w:p w:rsidR="006264D2" w:rsidRDefault="006264D2" w:rsidP="006264D2">
      <w:pPr>
        <w:shd w:val="clear" w:color="auto" w:fill="FFFFFF"/>
        <w:spacing w:after="0" w:line="240" w:lineRule="auto"/>
        <w:rPr>
          <w:rFonts w:ascii="Arial" w:eastAsia="Times New Roman" w:hAnsi="Arial" w:cs="Arial"/>
          <w:color w:val="222222"/>
          <w:sz w:val="20"/>
          <w:szCs w:val="20"/>
        </w:rPr>
      </w:pPr>
    </w:p>
    <w:p w:rsidR="00C76D75" w:rsidRDefault="006264D2" w:rsidP="00C76D75">
      <w:pPr>
        <w:keepNext/>
        <w:shd w:val="clear" w:color="auto" w:fill="FFFFFF"/>
        <w:spacing w:after="0" w:line="240" w:lineRule="auto"/>
      </w:pPr>
      <w:r>
        <w:rPr>
          <w:noProof/>
        </w:rPr>
        <w:drawing>
          <wp:inline distT="0" distB="0" distL="0" distR="0" wp14:anchorId="398EB73F" wp14:editId="3318C61A">
            <wp:extent cx="5943600" cy="3268345"/>
            <wp:effectExtent l="0" t="38100" r="19050" b="2730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6264D2" w:rsidRDefault="00C76D75" w:rsidP="00C76D75">
      <w:pPr>
        <w:pStyle w:val="Caption"/>
        <w:rPr>
          <w:rFonts w:ascii="Arial" w:eastAsia="Times New Roman" w:hAnsi="Arial" w:cs="Arial"/>
          <w:color w:val="222222"/>
          <w:sz w:val="20"/>
          <w:szCs w:val="20"/>
        </w:rPr>
      </w:pPr>
      <w:r>
        <w:t xml:space="preserve">Figure </w:t>
      </w:r>
      <w:fldSimple w:instr=" SEQ Figure \* ARABIC ">
        <w:r>
          <w:rPr>
            <w:noProof/>
          </w:rPr>
          <w:t>1</w:t>
        </w:r>
      </w:fldSimple>
      <w:r>
        <w:t>. Iterative cycle of WGClimate ECV Inventory.</w:t>
      </w:r>
    </w:p>
    <w:p w:rsidR="006264D2" w:rsidRDefault="006264D2" w:rsidP="006264D2">
      <w:pPr>
        <w:shd w:val="clear" w:color="auto" w:fill="FFFFFF"/>
        <w:spacing w:after="0" w:line="240" w:lineRule="auto"/>
        <w:rPr>
          <w:rFonts w:ascii="Arial" w:eastAsia="Times New Roman" w:hAnsi="Arial" w:cs="Arial"/>
          <w:color w:val="222222"/>
          <w:sz w:val="20"/>
          <w:szCs w:val="20"/>
        </w:rPr>
      </w:pPr>
    </w:p>
    <w:p w:rsidR="006264D2" w:rsidRPr="00BB5148" w:rsidRDefault="006264D2" w:rsidP="006264D2">
      <w:pPr>
        <w:shd w:val="clear" w:color="auto" w:fill="FFFFFF"/>
        <w:spacing w:after="0" w:line="240" w:lineRule="auto"/>
        <w:rPr>
          <w:rFonts w:eastAsia="Times New Roman" w:cs="Arial"/>
          <w:color w:val="222222"/>
          <w:sz w:val="24"/>
          <w:szCs w:val="24"/>
        </w:rPr>
      </w:pPr>
      <w:r w:rsidRPr="00BB5148">
        <w:rPr>
          <w:rFonts w:eastAsia="Times New Roman" w:cs="Arial"/>
          <w:color w:val="222222"/>
          <w:sz w:val="24"/>
          <w:szCs w:val="24"/>
        </w:rPr>
        <w:t xml:space="preserve">Each of the steps involved contains </w:t>
      </w:r>
      <w:r w:rsidR="0000186D" w:rsidRPr="00BB5148">
        <w:rPr>
          <w:rFonts w:eastAsia="Times New Roman" w:cs="Arial"/>
          <w:color w:val="222222"/>
          <w:sz w:val="24"/>
          <w:szCs w:val="24"/>
        </w:rPr>
        <w:t>its</w:t>
      </w:r>
      <w:r w:rsidRPr="00BB5148">
        <w:rPr>
          <w:rFonts w:eastAsia="Times New Roman" w:cs="Arial"/>
          <w:color w:val="222222"/>
          <w:sz w:val="24"/>
          <w:szCs w:val="24"/>
        </w:rPr>
        <w:t xml:space="preserve"> own internal processes and these are in turn linked to the others.  The rest of this document contains the plans for each step.  The Chair of the CEOS-CGMS Working Group on Climate provides oversight of the complete system and there are major contributors to each element.</w:t>
      </w:r>
      <w:r w:rsidR="0000186D" w:rsidRPr="00BB5148">
        <w:rPr>
          <w:rFonts w:eastAsia="Times New Roman" w:cs="Arial"/>
          <w:color w:val="222222"/>
          <w:sz w:val="24"/>
          <w:szCs w:val="24"/>
        </w:rPr>
        <w:t xml:space="preserve">  The ECV inventory is considered Version 0.1- 0.4 and not for public release until the first iteration is complete and then will be identified at V1.0.  To indicate which of the above steps are complete, I propose the following names and conventions.  This first version is ECV Inventory I and when step 1 below is complete (which is actually close or complete) we will label it as V0.1 (it is V0.0 until then).  When the reference assessment is complete, it will become V0.2, etc. around the full cycle.</w:t>
      </w:r>
    </w:p>
    <w:p w:rsidR="006264D2" w:rsidRPr="00BB5148" w:rsidRDefault="006264D2" w:rsidP="006264D2">
      <w:pPr>
        <w:shd w:val="clear" w:color="auto" w:fill="FFFFFF"/>
        <w:spacing w:after="0" w:line="240" w:lineRule="auto"/>
        <w:rPr>
          <w:rFonts w:eastAsia="Times New Roman" w:cs="Arial"/>
          <w:color w:val="222222"/>
          <w:sz w:val="24"/>
          <w:szCs w:val="24"/>
        </w:rPr>
      </w:pPr>
    </w:p>
    <w:p w:rsidR="006264D2" w:rsidRPr="00BB5148" w:rsidRDefault="00093C2E" w:rsidP="006264D2">
      <w:pPr>
        <w:shd w:val="clear" w:color="auto" w:fill="FFFFFF"/>
        <w:spacing w:after="0" w:line="240" w:lineRule="auto"/>
        <w:rPr>
          <w:rFonts w:eastAsia="Times New Roman" w:cs="Arial"/>
          <w:color w:val="222222"/>
          <w:sz w:val="24"/>
          <w:szCs w:val="24"/>
        </w:rPr>
      </w:pPr>
      <w:r w:rsidRPr="00BB5148">
        <w:rPr>
          <w:rFonts w:eastAsia="Times New Roman" w:cs="Arial"/>
          <w:b/>
          <w:color w:val="222222"/>
          <w:sz w:val="24"/>
          <w:szCs w:val="24"/>
        </w:rPr>
        <w:t>I</w:t>
      </w:r>
      <w:r w:rsidR="006264D2" w:rsidRPr="00BB5148">
        <w:rPr>
          <w:rFonts w:eastAsia="Times New Roman" w:cs="Arial"/>
          <w:b/>
          <w:color w:val="222222"/>
          <w:sz w:val="24"/>
          <w:szCs w:val="24"/>
        </w:rPr>
        <w:t>.  CEOS-CGMS ECV Inventory</w:t>
      </w:r>
      <w:r w:rsidR="00A93EFE">
        <w:rPr>
          <w:rFonts w:eastAsia="Times New Roman" w:cs="Arial"/>
          <w:b/>
          <w:color w:val="222222"/>
          <w:sz w:val="24"/>
          <w:szCs w:val="24"/>
        </w:rPr>
        <w:t xml:space="preserve"> Responsibilities between WGClimate and the NASA </w:t>
      </w:r>
      <w:proofErr w:type="gramStart"/>
      <w:r w:rsidR="00A93EFE">
        <w:rPr>
          <w:rFonts w:eastAsia="Times New Roman" w:cs="Arial"/>
          <w:b/>
          <w:color w:val="222222"/>
          <w:sz w:val="24"/>
          <w:szCs w:val="24"/>
        </w:rPr>
        <w:t>SEO</w:t>
      </w:r>
      <w:r w:rsidR="00A93EFE">
        <w:rPr>
          <w:rFonts w:eastAsia="Times New Roman" w:cs="Arial"/>
          <w:color w:val="222222"/>
          <w:sz w:val="24"/>
          <w:szCs w:val="24"/>
        </w:rPr>
        <w:t xml:space="preserve">  -</w:t>
      </w:r>
      <w:proofErr w:type="gramEnd"/>
      <w:r w:rsidR="00A93EFE">
        <w:rPr>
          <w:rFonts w:eastAsia="Times New Roman" w:cs="Arial"/>
          <w:color w:val="222222"/>
          <w:sz w:val="24"/>
          <w:szCs w:val="24"/>
        </w:rPr>
        <w:t xml:space="preserve"> B</w:t>
      </w:r>
      <w:r w:rsidR="0000186D" w:rsidRPr="00BB5148">
        <w:rPr>
          <w:rFonts w:eastAsia="Times New Roman" w:cs="Arial"/>
          <w:color w:val="222222"/>
          <w:sz w:val="24"/>
          <w:szCs w:val="24"/>
        </w:rPr>
        <w:t xml:space="preserve">ased on Brian </w:t>
      </w:r>
      <w:proofErr w:type="spellStart"/>
      <w:r w:rsidR="0000186D" w:rsidRPr="00BB5148">
        <w:rPr>
          <w:rFonts w:eastAsia="Times New Roman" w:cs="Arial"/>
          <w:color w:val="222222"/>
          <w:sz w:val="24"/>
          <w:szCs w:val="24"/>
        </w:rPr>
        <w:t>Killough</w:t>
      </w:r>
      <w:proofErr w:type="spellEnd"/>
      <w:r w:rsidR="0000186D" w:rsidRPr="00BB5148">
        <w:rPr>
          <w:rFonts w:eastAsia="Times New Roman" w:cs="Arial"/>
          <w:color w:val="222222"/>
          <w:sz w:val="24"/>
          <w:szCs w:val="24"/>
        </w:rPr>
        <w:t xml:space="preserve"> diagram at CEOS Plenary 28</w:t>
      </w:r>
      <w:r w:rsidR="00A93EFE">
        <w:rPr>
          <w:rFonts w:eastAsia="Times New Roman" w:cs="Arial"/>
          <w:color w:val="222222"/>
          <w:sz w:val="24"/>
          <w:szCs w:val="24"/>
        </w:rPr>
        <w:t>; updated with input from R. Husband.</w:t>
      </w:r>
    </w:p>
    <w:p w:rsidR="006264D2" w:rsidRPr="00BB5148" w:rsidRDefault="006264D2" w:rsidP="006264D2">
      <w:pPr>
        <w:shd w:val="clear" w:color="auto" w:fill="FFFFFF"/>
        <w:spacing w:after="0" w:line="240" w:lineRule="auto"/>
        <w:rPr>
          <w:rFonts w:eastAsia="Times New Roman" w:cs="Arial"/>
          <w:color w:val="222222"/>
          <w:sz w:val="24"/>
          <w:szCs w:val="24"/>
        </w:rPr>
      </w:pPr>
    </w:p>
    <w:p w:rsidR="00B00331" w:rsidRPr="00BB5148" w:rsidRDefault="00B00331" w:rsidP="006264D2">
      <w:pPr>
        <w:shd w:val="clear" w:color="auto" w:fill="FFFFFF"/>
        <w:spacing w:after="0" w:line="240" w:lineRule="auto"/>
        <w:rPr>
          <w:rFonts w:eastAsia="Times New Roman" w:cs="Arial"/>
          <w:color w:val="222222"/>
          <w:sz w:val="24"/>
          <w:szCs w:val="24"/>
        </w:rPr>
      </w:pPr>
    </w:p>
    <w:p w:rsidR="006264D2" w:rsidRDefault="00C76D75" w:rsidP="006264D2">
      <w:pPr>
        <w:shd w:val="clear" w:color="auto" w:fill="FFFFFF"/>
        <w:spacing w:after="0" w:line="240" w:lineRule="auto"/>
        <w:rPr>
          <w:rFonts w:eastAsia="Times New Roman" w:cs="Arial"/>
          <w:color w:val="222222"/>
          <w:sz w:val="24"/>
          <w:szCs w:val="24"/>
        </w:rPr>
      </w:pPr>
      <w:r w:rsidRPr="00BB5148">
        <w:rPr>
          <w:rFonts w:eastAsia="Times New Roman" w:cs="Arial"/>
          <w:color w:val="222222"/>
          <w:sz w:val="24"/>
          <w:szCs w:val="24"/>
        </w:rPr>
        <w:lastRenderedPageBreak/>
        <w:t>T</w:t>
      </w:r>
      <w:r w:rsidR="00A93EFE">
        <w:rPr>
          <w:rFonts w:eastAsia="Times New Roman" w:cs="Arial"/>
          <w:color w:val="222222"/>
          <w:sz w:val="24"/>
          <w:szCs w:val="24"/>
        </w:rPr>
        <w:t>he WGClimate has lead responsibility for formulating the content of the ECV questionnaire, final control of the content and iterating with the SEO and data providers to ensure completeness and accuracy of the content, and release of the ECV database to the public.  The SOE provides support to the WGClimate through hosting the questionnaire for input, versioning of the questionnaire, configuration control, providing internal (i.e., working version to WGClimate members) and external (i.e., to the public)</w:t>
      </w:r>
      <w:r w:rsidR="008740E3">
        <w:rPr>
          <w:rFonts w:eastAsia="Times New Roman" w:cs="Arial"/>
          <w:color w:val="222222"/>
          <w:sz w:val="24"/>
          <w:szCs w:val="24"/>
        </w:rPr>
        <w:t xml:space="preserve"> search and query capabilities.  Other related activities are also supported as detailed in Figure 2.</w:t>
      </w:r>
    </w:p>
    <w:p w:rsidR="008740E3" w:rsidRPr="00BB5148" w:rsidRDefault="008740E3" w:rsidP="006264D2">
      <w:pPr>
        <w:shd w:val="clear" w:color="auto" w:fill="FFFFFF"/>
        <w:spacing w:after="0" w:line="240" w:lineRule="auto"/>
        <w:rPr>
          <w:rFonts w:eastAsia="Times New Roman" w:cs="Arial"/>
          <w:color w:val="222222"/>
          <w:sz w:val="24"/>
          <w:szCs w:val="24"/>
        </w:rPr>
      </w:pPr>
      <w:bookmarkStart w:id="0" w:name="_GoBack"/>
      <w:bookmarkEnd w:id="0"/>
    </w:p>
    <w:p w:rsidR="00A93EFE" w:rsidRDefault="00A93EFE" w:rsidP="006264D2">
      <w:pPr>
        <w:shd w:val="clear" w:color="auto" w:fill="FFFFFF"/>
        <w:spacing w:after="0" w:line="240" w:lineRule="auto"/>
        <w:rPr>
          <w:rFonts w:eastAsia="Times New Roman" w:cs="Arial"/>
          <w:color w:val="222222"/>
          <w:sz w:val="24"/>
          <w:szCs w:val="24"/>
        </w:rPr>
      </w:pPr>
      <w:r>
        <w:rPr>
          <w:rFonts w:eastAsia="Times New Roman" w:cs="Arial"/>
          <w:noProof/>
          <w:color w:val="222222"/>
          <w:sz w:val="24"/>
          <w:szCs w:val="24"/>
        </w:rPr>
        <w:drawing>
          <wp:inline distT="0" distB="0" distL="0" distR="0">
            <wp:extent cx="5943600" cy="3343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V inventory SEO diagram_Draft_B (1).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00A93EFE" w:rsidRDefault="00A93EFE" w:rsidP="006264D2">
      <w:pPr>
        <w:shd w:val="clear" w:color="auto" w:fill="FFFFFF"/>
        <w:spacing w:after="0" w:line="240" w:lineRule="auto"/>
        <w:rPr>
          <w:rFonts w:eastAsia="Times New Roman" w:cs="Arial"/>
          <w:color w:val="222222"/>
          <w:sz w:val="24"/>
          <w:szCs w:val="24"/>
        </w:rPr>
      </w:pPr>
    </w:p>
    <w:p w:rsidR="004569C7" w:rsidRPr="004569C7" w:rsidRDefault="004569C7" w:rsidP="004569C7">
      <w:pPr>
        <w:shd w:val="clear" w:color="auto" w:fill="FFFFFF"/>
        <w:spacing w:after="0" w:line="240" w:lineRule="auto"/>
        <w:rPr>
          <w:rFonts w:ascii="Arial" w:eastAsia="Times New Roman" w:hAnsi="Arial" w:cs="Arial"/>
          <w:color w:val="222222"/>
          <w:sz w:val="20"/>
          <w:szCs w:val="20"/>
        </w:rPr>
      </w:pPr>
    </w:p>
    <w:p w:rsidR="00C76D75" w:rsidRDefault="00C76D75" w:rsidP="00C76D75">
      <w:pPr>
        <w:keepNext/>
        <w:shd w:val="clear" w:color="auto" w:fill="FFFFFF"/>
        <w:spacing w:after="0" w:line="240" w:lineRule="auto"/>
      </w:pPr>
    </w:p>
    <w:p w:rsidR="006264D2" w:rsidRDefault="00C76D75" w:rsidP="00C76D75">
      <w:pPr>
        <w:pStyle w:val="Caption"/>
      </w:pPr>
      <w:r>
        <w:t xml:space="preserve">Figure </w:t>
      </w:r>
      <w:fldSimple w:instr=" SEQ Figure \* ARABIC ">
        <w:r>
          <w:rPr>
            <w:noProof/>
          </w:rPr>
          <w:t>2</w:t>
        </w:r>
      </w:fldSimple>
      <w:r>
        <w:t xml:space="preserve">. Proposed </w:t>
      </w:r>
      <w:r w:rsidR="00A93EFE">
        <w:t>roles and responsibilities for WGClimate and SEO in support of the ECV inventory</w:t>
      </w:r>
      <w:proofErr w:type="gramStart"/>
      <w:r w:rsidR="00A93EFE">
        <w:t>.</w:t>
      </w:r>
      <w:r>
        <w:t>.</w:t>
      </w:r>
      <w:proofErr w:type="gramEnd"/>
    </w:p>
    <w:p w:rsidR="00C76D75" w:rsidRPr="00BB5148" w:rsidRDefault="00C76D75" w:rsidP="00C76D75">
      <w:pPr>
        <w:rPr>
          <w:sz w:val="24"/>
          <w:szCs w:val="24"/>
        </w:rPr>
      </w:pPr>
    </w:p>
    <w:p w:rsidR="00AB3218" w:rsidRPr="00BB5148" w:rsidRDefault="0000186D">
      <w:pPr>
        <w:rPr>
          <w:sz w:val="24"/>
          <w:szCs w:val="24"/>
        </w:rPr>
      </w:pPr>
      <w:r w:rsidRPr="00BB5148">
        <w:rPr>
          <w:sz w:val="24"/>
          <w:szCs w:val="24"/>
        </w:rPr>
        <w:t xml:space="preserve">The current ECV questionnaire and inventory are at </w:t>
      </w:r>
      <w:hyperlink r:id="rId12" w:history="1">
        <w:r w:rsidRPr="00BB5148">
          <w:rPr>
            <w:rStyle w:val="Hyperlink"/>
            <w:sz w:val="24"/>
            <w:szCs w:val="24"/>
          </w:rPr>
          <w:t>http://ecv-inventory.com/ecv2/</w:t>
        </w:r>
      </w:hyperlink>
    </w:p>
    <w:p w:rsidR="0000186D" w:rsidRPr="00093C2E" w:rsidRDefault="00093C2E">
      <w:pPr>
        <w:rPr>
          <w:b/>
        </w:rPr>
      </w:pPr>
      <w:r w:rsidRPr="00093C2E">
        <w:rPr>
          <w:b/>
        </w:rPr>
        <w:t>II</w:t>
      </w:r>
      <w:proofErr w:type="gramStart"/>
      <w:r w:rsidR="004569C7" w:rsidRPr="00093C2E">
        <w:rPr>
          <w:b/>
        </w:rPr>
        <w:t>.  Reference</w:t>
      </w:r>
      <w:proofErr w:type="gramEnd"/>
      <w:r w:rsidR="004569C7" w:rsidRPr="00093C2E">
        <w:rPr>
          <w:b/>
        </w:rPr>
        <w:t xml:space="preserve"> Assessment – Lead Bates</w:t>
      </w:r>
    </w:p>
    <w:p w:rsidR="00093C2E" w:rsidRDefault="00093C2E" w:rsidP="00093C2E">
      <w:pPr>
        <w:rPr>
          <w:sz w:val="24"/>
          <w:szCs w:val="24"/>
        </w:rPr>
      </w:pPr>
      <w:r>
        <w:rPr>
          <w:sz w:val="24"/>
          <w:szCs w:val="24"/>
        </w:rPr>
        <w:t>The WGClimate is responsive to the GCOS WCV requirements provided in the GCOS 2010 implementation plan (GCOS-138; hereafter referred to as GCOS IP10) and the related satellite supplement (GCOS-154).  The specific requirements for the ECVs that can be observed from satellites are given in the satellite supplement and were driven be user needs following the UN Framework Convention on Climate Change (UNFCCC).  The relationship between these entities is shown schematically in figure 1.</w:t>
      </w:r>
    </w:p>
    <w:p w:rsidR="00093C2E" w:rsidRDefault="00093C2E" w:rsidP="00093C2E">
      <w:pPr>
        <w:keepNext/>
      </w:pPr>
      <w:r>
        <w:rPr>
          <w:noProof/>
          <w:sz w:val="24"/>
          <w:szCs w:val="24"/>
        </w:rPr>
        <w:lastRenderedPageBreak/>
        <w:drawing>
          <wp:inline distT="0" distB="0" distL="0" distR="0" wp14:anchorId="300BB041" wp14:editId="4B757133">
            <wp:extent cx="4103274" cy="3096665"/>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ngle Users-GCOS-WGClimate 10-14.png"/>
                    <pic:cNvPicPr/>
                  </pic:nvPicPr>
                  <pic:blipFill rotWithShape="1">
                    <a:blip r:embed="rId13">
                      <a:extLst>
                        <a:ext uri="{28A0092B-C50C-407E-A947-70E740481C1C}">
                          <a14:useLocalDpi xmlns:a14="http://schemas.microsoft.com/office/drawing/2010/main" val="0"/>
                        </a:ext>
                      </a:extLst>
                    </a:blip>
                    <a:srcRect r="31008" b="16693"/>
                    <a:stretch/>
                  </pic:blipFill>
                  <pic:spPr bwMode="auto">
                    <a:xfrm>
                      <a:off x="0" y="0"/>
                      <a:ext cx="4106991" cy="3099470"/>
                    </a:xfrm>
                    <a:prstGeom prst="rect">
                      <a:avLst/>
                    </a:prstGeom>
                    <a:ln>
                      <a:noFill/>
                    </a:ln>
                    <a:extLst>
                      <a:ext uri="{53640926-AAD7-44D8-BBD7-CCE9431645EC}">
                        <a14:shadowObscured xmlns:a14="http://schemas.microsoft.com/office/drawing/2010/main"/>
                      </a:ext>
                    </a:extLst>
                  </pic:spPr>
                </pic:pic>
              </a:graphicData>
            </a:graphic>
          </wp:inline>
        </w:drawing>
      </w:r>
    </w:p>
    <w:p w:rsidR="00093C2E" w:rsidRDefault="00093C2E" w:rsidP="00093C2E">
      <w:pPr>
        <w:pStyle w:val="Caption"/>
      </w:pPr>
      <w:r>
        <w:t xml:space="preserve">Figure </w:t>
      </w:r>
      <w:r w:rsidR="000C02CC">
        <w:t>3</w:t>
      </w:r>
      <w:r>
        <w:t>. Flow of needs to requirements to the WGClimate.</w:t>
      </w:r>
    </w:p>
    <w:p w:rsidR="00093C2E" w:rsidRDefault="00093C2E" w:rsidP="00093C2E">
      <w:pPr>
        <w:rPr>
          <w:sz w:val="24"/>
          <w:szCs w:val="24"/>
        </w:rPr>
      </w:pPr>
      <w:r>
        <w:rPr>
          <w:sz w:val="24"/>
          <w:szCs w:val="24"/>
        </w:rPr>
        <w:t xml:space="preserve">ECVs can refer to a single geophysical variable, or a group of geophysical variables, and we refer to these as climate data records </w:t>
      </w:r>
      <w:proofErr w:type="spellStart"/>
      <w:r>
        <w:rPr>
          <w:sz w:val="24"/>
          <w:szCs w:val="24"/>
        </w:rPr>
        <w:t>CDRs.</w:t>
      </w:r>
      <w:proofErr w:type="spellEnd"/>
      <w:r>
        <w:rPr>
          <w:sz w:val="24"/>
          <w:szCs w:val="24"/>
        </w:rPr>
        <w:t xml:space="preserve">  CDRs are further defined as fundamental CDRs (the remote sensing observable) and the derived geophysical variable, also defined as a thematic CDR (TCDR)   We limit the entries in the ECV inventory to only those ECV/TCDR pairs identified in GCOS-154 (see tables 2-4, TCDRs are the column labeled ‘global products…’ ).</w:t>
      </w:r>
    </w:p>
    <w:p w:rsidR="00093C2E" w:rsidRDefault="00093C2E" w:rsidP="00093C2E">
      <w:pPr>
        <w:rPr>
          <w:sz w:val="24"/>
          <w:szCs w:val="24"/>
        </w:rPr>
      </w:pPr>
      <w:r>
        <w:rPr>
          <w:sz w:val="24"/>
          <w:szCs w:val="24"/>
        </w:rPr>
        <w:t xml:space="preserve">Recall the 4 pillars of the climate monitoring architecture and related flow </w:t>
      </w:r>
      <w:r w:rsidR="000C02CC">
        <w:rPr>
          <w:sz w:val="24"/>
          <w:szCs w:val="24"/>
        </w:rPr>
        <w:t>of information shown in figure 4</w:t>
      </w:r>
      <w:r>
        <w:rPr>
          <w:sz w:val="24"/>
          <w:szCs w:val="24"/>
        </w:rPr>
        <w:t>.</w:t>
      </w:r>
    </w:p>
    <w:p w:rsidR="00093C2E" w:rsidRDefault="00093C2E" w:rsidP="00093C2E">
      <w:pPr>
        <w:rPr>
          <w:sz w:val="24"/>
          <w:szCs w:val="24"/>
        </w:rPr>
      </w:pPr>
      <w:r>
        <w:rPr>
          <w:noProof/>
        </w:rPr>
        <w:drawing>
          <wp:inline distT="0" distB="0" distL="0" distR="0" wp14:anchorId="73848538" wp14:editId="3DF7B16D">
            <wp:extent cx="5943600" cy="1866900"/>
            <wp:effectExtent l="0" t="0" r="0" b="0"/>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866900"/>
                    </a:xfrm>
                    <a:prstGeom prst="rect">
                      <a:avLst/>
                    </a:prstGeom>
                    <a:noFill/>
                    <a:ln>
                      <a:noFill/>
                    </a:ln>
                    <a:extLst/>
                  </pic:spPr>
                </pic:pic>
              </a:graphicData>
            </a:graphic>
          </wp:inline>
        </w:drawing>
      </w:r>
    </w:p>
    <w:p w:rsidR="00093C2E" w:rsidRDefault="00093C2E" w:rsidP="00093C2E">
      <w:pPr>
        <w:rPr>
          <w:sz w:val="24"/>
          <w:szCs w:val="24"/>
        </w:rPr>
      </w:pPr>
      <w:r>
        <w:rPr>
          <w:sz w:val="24"/>
          <w:szCs w:val="24"/>
        </w:rPr>
        <w:t>The ultimate goal of an assessment against this architectur</w:t>
      </w:r>
      <w:r w:rsidR="000C02CC">
        <w:rPr>
          <w:sz w:val="24"/>
          <w:szCs w:val="24"/>
        </w:rPr>
        <w:t>e requires that we identify a me</w:t>
      </w:r>
      <w:r>
        <w:rPr>
          <w:sz w:val="24"/>
          <w:szCs w:val="24"/>
        </w:rPr>
        <w:t>tric, or metrics, to assess the quality of each pillar as well as the entire value chain against the GCOS requirements.  The GCOS requirements, since they were motivated by the UNFCCC, are oriented to detection of signals on decadal to centennial times and space scales.  This is our focus in this exercise.</w:t>
      </w:r>
    </w:p>
    <w:p w:rsidR="00093C2E" w:rsidRDefault="00093C2E" w:rsidP="00093C2E">
      <w:pPr>
        <w:rPr>
          <w:sz w:val="24"/>
          <w:szCs w:val="24"/>
        </w:rPr>
      </w:pPr>
      <w:r>
        <w:rPr>
          <w:sz w:val="24"/>
          <w:szCs w:val="24"/>
        </w:rPr>
        <w:lastRenderedPageBreak/>
        <w:t xml:space="preserve">One of the earliest attempts to provide guidance on climate monitoring was the identification of climate monitoring principles in the late 1990s (see Annex II in GCOS-143).  These were helpful principles, however, they were difficult to quantify as metrics.  More helpful recently has been the development of guidelines for the generation of datasets and products meeting GCOS requirements (GCOS-143) and the related data maturity models (Bates and </w:t>
      </w:r>
      <w:proofErr w:type="spellStart"/>
      <w:r>
        <w:rPr>
          <w:sz w:val="24"/>
          <w:szCs w:val="24"/>
        </w:rPr>
        <w:t>Privette</w:t>
      </w:r>
      <w:proofErr w:type="spellEnd"/>
      <w:r>
        <w:rPr>
          <w:sz w:val="24"/>
          <w:szCs w:val="24"/>
        </w:rPr>
        <w:t>, 2012 and CORE-CLIMAX model of Schulz et al., 2014).</w:t>
      </w:r>
    </w:p>
    <w:p w:rsidR="00093C2E" w:rsidRDefault="00093C2E" w:rsidP="00093C2E">
      <w:pPr>
        <w:rPr>
          <w:sz w:val="24"/>
          <w:szCs w:val="24"/>
        </w:rPr>
      </w:pPr>
      <w:r>
        <w:rPr>
          <w:sz w:val="24"/>
          <w:szCs w:val="24"/>
        </w:rPr>
        <w:t>Proposed assessment of existing ECV/CDRs</w:t>
      </w:r>
    </w:p>
    <w:p w:rsidR="00093C2E" w:rsidRDefault="00093C2E" w:rsidP="00093C2E">
      <w:pPr>
        <w:rPr>
          <w:sz w:val="24"/>
          <w:szCs w:val="24"/>
        </w:rPr>
      </w:pPr>
      <w:r>
        <w:rPr>
          <w:sz w:val="24"/>
          <w:szCs w:val="24"/>
        </w:rPr>
        <w:t>Each of the pillars of the climate monitoring architecture needs to be assessed.  I propose that WGClimate members volunteer to conduct group assessments using the following 3 metrics:</w:t>
      </w:r>
    </w:p>
    <w:p w:rsidR="00F23ED6" w:rsidRDefault="00093C2E" w:rsidP="00093C2E">
      <w:pPr>
        <w:rPr>
          <w:sz w:val="24"/>
          <w:szCs w:val="24"/>
        </w:rPr>
      </w:pPr>
      <w:r>
        <w:rPr>
          <w:sz w:val="24"/>
          <w:szCs w:val="24"/>
        </w:rPr>
        <w:t>1.  Evaluation of compliance with t</w:t>
      </w:r>
      <w:r w:rsidR="000C02CC">
        <w:rPr>
          <w:sz w:val="24"/>
          <w:szCs w:val="24"/>
        </w:rPr>
        <w:t>he GCOS-143 ’12 needs</w:t>
      </w:r>
      <w:r w:rsidR="00F23ED6">
        <w:rPr>
          <w:sz w:val="24"/>
          <w:szCs w:val="24"/>
        </w:rPr>
        <w:t>’.</w:t>
      </w:r>
    </w:p>
    <w:p w:rsidR="000C02CC" w:rsidRDefault="00093C2E" w:rsidP="00093C2E">
      <w:pPr>
        <w:rPr>
          <w:sz w:val="24"/>
          <w:szCs w:val="24"/>
        </w:rPr>
      </w:pPr>
      <w:r>
        <w:rPr>
          <w:sz w:val="24"/>
          <w:szCs w:val="24"/>
        </w:rPr>
        <w:t xml:space="preserve">2.  Evaluation of the system maturity matrix using the CORE-CLIMAX criteria.   </w:t>
      </w:r>
    </w:p>
    <w:p w:rsidR="000C02CC" w:rsidRDefault="000C02CC" w:rsidP="00093C2E">
      <w:pPr>
        <w:rPr>
          <w:sz w:val="24"/>
          <w:szCs w:val="24"/>
        </w:rPr>
      </w:pPr>
      <w:r>
        <w:rPr>
          <w:sz w:val="24"/>
          <w:szCs w:val="24"/>
        </w:rPr>
        <w:t xml:space="preserve">3. </w:t>
      </w:r>
      <w:r w:rsidR="00093C2E">
        <w:rPr>
          <w:sz w:val="24"/>
          <w:szCs w:val="24"/>
        </w:rPr>
        <w:t>Evaluation of applications and decision making against GCOS criteria of GCOS-153 identified ‘benefits’ and ‘other applications’ as listed for each ECV should be used only in the evaluation of the ‘Usage’ column of this criteria (Users guide pdf and Excel sheet for evaluation are included).</w:t>
      </w:r>
    </w:p>
    <w:p w:rsidR="00093C2E" w:rsidRDefault="00093C2E" w:rsidP="00093C2E">
      <w:pPr>
        <w:rPr>
          <w:sz w:val="24"/>
          <w:szCs w:val="24"/>
        </w:rPr>
      </w:pPr>
      <w:r>
        <w:rPr>
          <w:sz w:val="24"/>
          <w:szCs w:val="24"/>
        </w:rPr>
        <w:t>Proposed assessment of FCDRs and future ECV/CDRs</w:t>
      </w:r>
    </w:p>
    <w:p w:rsidR="00093C2E" w:rsidRPr="00631198" w:rsidRDefault="00093C2E" w:rsidP="00093C2E">
      <w:pPr>
        <w:rPr>
          <w:sz w:val="24"/>
          <w:szCs w:val="24"/>
        </w:rPr>
      </w:pPr>
      <w:r>
        <w:rPr>
          <w:sz w:val="24"/>
          <w:szCs w:val="24"/>
        </w:rPr>
        <w:t>1.  The assessment of existing ECV/CDRs will inform our process for a gap analysis of the expected future climate observing system.  I propose that, using the FCDRs identified in the existing ECV/CDR analysis, we use information in the ECV inventory, as well as the CEOS MIM data base, to perform an analysis of the future system.</w:t>
      </w:r>
    </w:p>
    <w:p w:rsidR="004569C7" w:rsidRPr="00A74478" w:rsidRDefault="00093C2E">
      <w:pPr>
        <w:rPr>
          <w:b/>
          <w:sz w:val="24"/>
          <w:szCs w:val="24"/>
        </w:rPr>
      </w:pPr>
      <w:r w:rsidRPr="00A74478">
        <w:rPr>
          <w:b/>
          <w:sz w:val="24"/>
          <w:szCs w:val="24"/>
        </w:rPr>
        <w:t>III. Gap Analysis – Lead Lecomte (from 10/28/2014 email)</w:t>
      </w:r>
    </w:p>
    <w:p w:rsidR="00093C2E" w:rsidRPr="00093C2E" w:rsidRDefault="00093C2E" w:rsidP="00093C2E">
      <w:pPr>
        <w:spacing w:after="0" w:line="240" w:lineRule="auto"/>
        <w:rPr>
          <w:rFonts w:eastAsia="Times New Roman" w:cs="Times New Roman"/>
          <w:sz w:val="24"/>
          <w:szCs w:val="24"/>
        </w:rPr>
      </w:pPr>
      <w:r w:rsidRPr="00093C2E">
        <w:rPr>
          <w:rFonts w:eastAsia="Times New Roman" w:cs="Arial"/>
          <w:color w:val="222222"/>
          <w:sz w:val="24"/>
          <w:szCs w:val="24"/>
          <w:shd w:val="clear" w:color="auto" w:fill="FFFFFF"/>
        </w:rPr>
        <w:t xml:space="preserve">Talking with my colleagues we have identified four main types of gap (or shortfall), </w:t>
      </w:r>
      <w:proofErr w:type="spellStart"/>
      <w:r w:rsidRPr="00093C2E">
        <w:rPr>
          <w:rFonts w:eastAsia="Times New Roman" w:cs="Arial"/>
          <w:color w:val="222222"/>
          <w:sz w:val="24"/>
          <w:szCs w:val="24"/>
          <w:shd w:val="clear" w:color="auto" w:fill="FFFFFF"/>
        </w:rPr>
        <w:t>mappable</w:t>
      </w:r>
      <w:proofErr w:type="spellEnd"/>
      <w:r w:rsidRPr="00093C2E">
        <w:rPr>
          <w:rFonts w:eastAsia="Times New Roman" w:cs="Arial"/>
          <w:color w:val="222222"/>
          <w:sz w:val="24"/>
          <w:szCs w:val="24"/>
          <w:shd w:val="clear" w:color="auto" w:fill="FFFFFF"/>
        </w:rPr>
        <w:t xml:space="preserve"> to components of CEOS logical view. </w:t>
      </w:r>
      <w:r w:rsidRPr="00093C2E">
        <w:rPr>
          <w:rFonts w:eastAsia="Times New Roman" w:cs="Arial"/>
          <w:color w:val="222222"/>
          <w:sz w:val="24"/>
          <w:szCs w:val="24"/>
        </w:rPr>
        <w:br/>
      </w:r>
    </w:p>
    <w:p w:rsidR="00093C2E" w:rsidRPr="00093C2E" w:rsidRDefault="00093C2E" w:rsidP="00093C2E">
      <w:pPr>
        <w:numPr>
          <w:ilvl w:val="0"/>
          <w:numId w:val="4"/>
        </w:numPr>
        <w:shd w:val="clear" w:color="auto" w:fill="FFFFFF"/>
        <w:spacing w:before="100" w:beforeAutospacing="1" w:after="100" w:afterAutospacing="1" w:line="240" w:lineRule="auto"/>
        <w:ind w:left="945"/>
        <w:rPr>
          <w:rFonts w:eastAsia="Times New Roman" w:cs="Arial"/>
          <w:color w:val="222222"/>
          <w:sz w:val="24"/>
          <w:szCs w:val="24"/>
        </w:rPr>
      </w:pPr>
      <w:r w:rsidRPr="00093C2E">
        <w:rPr>
          <w:rFonts w:eastAsia="Times New Roman" w:cs="Arial"/>
          <w:color w:val="222222"/>
          <w:sz w:val="24"/>
          <w:szCs w:val="24"/>
        </w:rPr>
        <w:t xml:space="preserve">Sensing gaps. Gaps between the sensing capabilities of past / current / planned missions, and the GCOS requirements of ECVs which the sensors (Level 0) directly map to. For example, Satellite x instrument y Level 0 is fine for deriving the Sea Level ECV but fails on accuracy for Sea Ice ECV products. Follow-up analysis could comprise macro-scale discussion between agencies for modified planned or new future missions or </w:t>
      </w:r>
      <w:proofErr w:type="spellStart"/>
      <w:r w:rsidRPr="00093C2E">
        <w:rPr>
          <w:rFonts w:eastAsia="Times New Roman" w:cs="Arial"/>
          <w:color w:val="222222"/>
          <w:sz w:val="24"/>
          <w:szCs w:val="24"/>
        </w:rPr>
        <w:t>programmes</w:t>
      </w:r>
      <w:proofErr w:type="spellEnd"/>
      <w:r w:rsidRPr="00093C2E">
        <w:rPr>
          <w:rFonts w:eastAsia="Times New Roman" w:cs="Arial"/>
          <w:color w:val="222222"/>
          <w:sz w:val="24"/>
          <w:szCs w:val="24"/>
        </w:rPr>
        <w:t xml:space="preserve"> to collaboratively fill the gap.</w:t>
      </w:r>
    </w:p>
    <w:p w:rsidR="00093C2E" w:rsidRPr="00093C2E" w:rsidRDefault="00093C2E" w:rsidP="00093C2E">
      <w:pPr>
        <w:numPr>
          <w:ilvl w:val="0"/>
          <w:numId w:val="6"/>
        </w:numPr>
        <w:shd w:val="clear" w:color="auto" w:fill="FFFFFF"/>
        <w:spacing w:before="100" w:beforeAutospacing="1" w:after="100" w:afterAutospacing="1" w:line="240" w:lineRule="auto"/>
        <w:ind w:left="945"/>
        <w:rPr>
          <w:rFonts w:eastAsia="Times New Roman" w:cs="Arial"/>
          <w:color w:val="222222"/>
          <w:sz w:val="24"/>
          <w:szCs w:val="24"/>
        </w:rPr>
      </w:pPr>
      <w:r w:rsidRPr="00093C2E">
        <w:rPr>
          <w:rFonts w:eastAsia="Times New Roman" w:cs="Arial"/>
          <w:color w:val="222222"/>
          <w:sz w:val="24"/>
          <w:szCs w:val="24"/>
        </w:rPr>
        <w:t xml:space="preserve">CDR gaps. Gaps between the current / anticipated ECV products per ECV and the associated GCOS requirements (after sensing gaps accounted for). The required input data exists / is planned for the creation of an ECV product satisfying all its ECV requirements, but the (re-) processing hasn’t taken place yet (for instance, limited </w:t>
      </w:r>
      <w:r w:rsidRPr="00093C2E">
        <w:rPr>
          <w:rFonts w:eastAsia="Times New Roman" w:cs="Arial"/>
          <w:color w:val="222222"/>
          <w:sz w:val="24"/>
          <w:szCs w:val="24"/>
        </w:rPr>
        <w:lastRenderedPageBreak/>
        <w:t xml:space="preserve">computing, time, other resources). Follow-up analysis includes agencies further pooling their resources to </w:t>
      </w:r>
      <w:r w:rsidRPr="00BB5148">
        <w:rPr>
          <w:rFonts w:eastAsia="Times New Roman" w:cs="Arial"/>
          <w:color w:val="222222"/>
          <w:sz w:val="24"/>
          <w:szCs w:val="24"/>
        </w:rPr>
        <w:t>develop pan-agency ECV products.</w:t>
      </w:r>
    </w:p>
    <w:p w:rsidR="00093C2E" w:rsidRPr="00093C2E" w:rsidRDefault="00093C2E" w:rsidP="00093C2E">
      <w:pPr>
        <w:numPr>
          <w:ilvl w:val="0"/>
          <w:numId w:val="8"/>
        </w:numPr>
        <w:shd w:val="clear" w:color="auto" w:fill="FFFFFF"/>
        <w:spacing w:before="100" w:beforeAutospacing="1" w:after="100" w:afterAutospacing="1" w:line="240" w:lineRule="auto"/>
        <w:ind w:left="945"/>
        <w:rPr>
          <w:rFonts w:eastAsia="Times New Roman" w:cs="Arial"/>
          <w:color w:val="222222"/>
          <w:sz w:val="24"/>
          <w:szCs w:val="24"/>
        </w:rPr>
      </w:pPr>
      <w:r w:rsidRPr="00093C2E">
        <w:rPr>
          <w:rFonts w:eastAsia="Times New Roman" w:cs="Arial"/>
          <w:color w:val="222222"/>
          <w:sz w:val="24"/>
          <w:szCs w:val="24"/>
        </w:rPr>
        <w:t xml:space="preserve">Applications gaps. Complete list of applications (such as </w:t>
      </w:r>
      <w:proofErr w:type="spellStart"/>
      <w:r w:rsidRPr="00093C2E">
        <w:rPr>
          <w:rFonts w:eastAsia="Times New Roman" w:cs="Arial"/>
          <w:color w:val="222222"/>
          <w:sz w:val="24"/>
          <w:szCs w:val="24"/>
        </w:rPr>
        <w:t>agrometeorology</w:t>
      </w:r>
      <w:proofErr w:type="spellEnd"/>
      <w:r w:rsidRPr="00093C2E">
        <w:rPr>
          <w:rFonts w:eastAsia="Times New Roman" w:cs="Arial"/>
          <w:color w:val="222222"/>
          <w:sz w:val="24"/>
          <w:szCs w:val="24"/>
        </w:rPr>
        <w:t xml:space="preserve">) / SBAs (such as </w:t>
      </w:r>
      <w:proofErr w:type="spellStart"/>
      <w:r w:rsidRPr="00093C2E">
        <w:rPr>
          <w:rFonts w:eastAsia="Times New Roman" w:cs="Arial"/>
          <w:color w:val="222222"/>
          <w:sz w:val="24"/>
          <w:szCs w:val="24"/>
        </w:rPr>
        <w:t>urbanisation</w:t>
      </w:r>
      <w:proofErr w:type="spellEnd"/>
      <w:r w:rsidRPr="00093C2E">
        <w:rPr>
          <w:rFonts w:eastAsia="Times New Roman" w:cs="Arial"/>
          <w:color w:val="222222"/>
          <w:sz w:val="24"/>
          <w:szCs w:val="24"/>
        </w:rPr>
        <w:t xml:space="preserve"> spread) should each be </w:t>
      </w:r>
      <w:proofErr w:type="spellStart"/>
      <w:r w:rsidRPr="00093C2E">
        <w:rPr>
          <w:rFonts w:eastAsia="Times New Roman" w:cs="Arial"/>
          <w:color w:val="222222"/>
          <w:sz w:val="24"/>
          <w:szCs w:val="24"/>
        </w:rPr>
        <w:t>mappable</w:t>
      </w:r>
      <w:proofErr w:type="spellEnd"/>
      <w:r w:rsidRPr="00093C2E">
        <w:rPr>
          <w:rFonts w:eastAsia="Times New Roman" w:cs="Arial"/>
          <w:color w:val="222222"/>
          <w:sz w:val="24"/>
          <w:szCs w:val="24"/>
        </w:rPr>
        <w:t xml:space="preserve"> (1-to-many) to ECVs. Nevertheless, there could be gaps regarding non- GCOS-ECVs which are required for an Application / SBA. A complete systematic analysis would aim to define a complete list of potential applications / SBA, mapping each to its required ECVs and non-ECVs data. A further analysis is then required to ascertain whether the identified non-ECV data records exist at all, and where not to then identify these as perhaps required for collaborative gap-filling by the agencies. Additionally, although a fully compliant ECV may exist for an application, the ECV may have a technical shortfall in context to the application use. Further analysis &amp; opportunity for collaborative agency cooperation for the gap filling.</w:t>
      </w:r>
    </w:p>
    <w:p w:rsidR="00093C2E" w:rsidRPr="00093C2E" w:rsidRDefault="00093C2E" w:rsidP="00093C2E">
      <w:pPr>
        <w:numPr>
          <w:ilvl w:val="0"/>
          <w:numId w:val="10"/>
        </w:numPr>
        <w:shd w:val="clear" w:color="auto" w:fill="FFFFFF"/>
        <w:spacing w:before="100" w:beforeAutospacing="1" w:after="100" w:afterAutospacing="1" w:line="240" w:lineRule="auto"/>
        <w:ind w:left="945"/>
        <w:rPr>
          <w:rFonts w:eastAsia="Times New Roman" w:cs="Arial"/>
          <w:color w:val="222222"/>
          <w:sz w:val="24"/>
          <w:szCs w:val="24"/>
        </w:rPr>
      </w:pPr>
      <w:r w:rsidRPr="00093C2E">
        <w:rPr>
          <w:rFonts w:eastAsia="Times New Roman" w:cs="Arial"/>
          <w:color w:val="222222"/>
          <w:sz w:val="24"/>
          <w:szCs w:val="24"/>
        </w:rPr>
        <w:t>Decision-Making gaps. Decision-making includes climate change mitigation &amp; adaptation as well as monitoring (a departure from the previous components). An analysis could be undertaken to assess how the preceding ECVs and applications are used for playing out mitigation and adaptation scenarios, and so identifying shortfalls. Each agency should draw on previous and current projects using earth observation for monitoring &amp; mitigation.</w:t>
      </w:r>
    </w:p>
    <w:p w:rsidR="00093C2E" w:rsidRPr="00093C2E" w:rsidRDefault="00093C2E" w:rsidP="00093C2E">
      <w:pPr>
        <w:spacing w:after="0" w:line="240" w:lineRule="auto"/>
        <w:rPr>
          <w:rFonts w:eastAsia="Times New Roman" w:cs="Times New Roman"/>
          <w:sz w:val="24"/>
          <w:szCs w:val="24"/>
        </w:rPr>
      </w:pPr>
      <w:r w:rsidRPr="00093C2E">
        <w:rPr>
          <w:rFonts w:eastAsia="Times New Roman" w:cs="Arial"/>
          <w:color w:val="222222"/>
          <w:sz w:val="24"/>
          <w:szCs w:val="24"/>
        </w:rPr>
        <w:br/>
      </w:r>
      <w:r w:rsidRPr="00093C2E">
        <w:rPr>
          <w:rFonts w:eastAsia="Times New Roman" w:cs="Arial"/>
          <w:color w:val="222222"/>
          <w:sz w:val="24"/>
          <w:szCs w:val="24"/>
          <w:shd w:val="clear" w:color="auto" w:fill="FFFFFF"/>
        </w:rPr>
        <w:t>This approach explicitly makes reference to the Climate Architecture figure 6.1, like that, it clearly matches the logic developed so far. </w:t>
      </w:r>
      <w:r w:rsidRPr="00093C2E">
        <w:rPr>
          <w:rFonts w:eastAsia="Times New Roman" w:cs="Arial"/>
          <w:color w:val="222222"/>
          <w:sz w:val="24"/>
          <w:szCs w:val="24"/>
        </w:rPr>
        <w:br/>
      </w:r>
      <w:r w:rsidRPr="00093C2E">
        <w:rPr>
          <w:rFonts w:eastAsia="Times New Roman" w:cs="Arial"/>
          <w:color w:val="222222"/>
          <w:sz w:val="24"/>
          <w:szCs w:val="24"/>
        </w:rPr>
        <w:br/>
      </w:r>
      <w:r w:rsidRPr="00093C2E">
        <w:rPr>
          <w:rFonts w:eastAsia="Times New Roman" w:cs="Arial"/>
          <w:color w:val="222222"/>
          <w:sz w:val="24"/>
          <w:szCs w:val="24"/>
          <w:shd w:val="clear" w:color="auto" w:fill="FFFFFF"/>
        </w:rPr>
        <w:t>It also give a hook to explain two concepts:</w:t>
      </w:r>
    </w:p>
    <w:p w:rsidR="00093C2E" w:rsidRPr="00093C2E" w:rsidRDefault="00093C2E" w:rsidP="00093C2E">
      <w:pPr>
        <w:numPr>
          <w:ilvl w:val="0"/>
          <w:numId w:val="11"/>
        </w:numPr>
        <w:shd w:val="clear" w:color="auto" w:fill="FFFFFF"/>
        <w:spacing w:before="100" w:beforeAutospacing="1" w:after="100" w:afterAutospacing="1" w:line="240" w:lineRule="auto"/>
        <w:ind w:left="945"/>
        <w:rPr>
          <w:rFonts w:eastAsia="Times New Roman" w:cs="Arial"/>
          <w:color w:val="222222"/>
          <w:sz w:val="24"/>
          <w:szCs w:val="24"/>
        </w:rPr>
      </w:pPr>
      <w:r w:rsidRPr="00093C2E">
        <w:rPr>
          <w:rFonts w:eastAsia="Times New Roman" w:cs="Arial"/>
          <w:color w:val="222222"/>
          <w:sz w:val="24"/>
          <w:szCs w:val="24"/>
        </w:rPr>
        <w:t>A gap is not necessarily linked to a lack of level 0 (sensing)</w:t>
      </w:r>
    </w:p>
    <w:p w:rsidR="00093C2E" w:rsidRPr="00093C2E" w:rsidRDefault="00093C2E" w:rsidP="00093C2E">
      <w:pPr>
        <w:numPr>
          <w:ilvl w:val="0"/>
          <w:numId w:val="11"/>
        </w:numPr>
        <w:shd w:val="clear" w:color="auto" w:fill="FFFFFF"/>
        <w:spacing w:before="100" w:beforeAutospacing="1" w:after="100" w:afterAutospacing="1" w:line="240" w:lineRule="auto"/>
        <w:ind w:left="945"/>
        <w:rPr>
          <w:rFonts w:eastAsia="Times New Roman" w:cs="Arial"/>
          <w:color w:val="222222"/>
          <w:sz w:val="24"/>
          <w:szCs w:val="24"/>
        </w:rPr>
      </w:pPr>
      <w:r w:rsidRPr="00093C2E">
        <w:rPr>
          <w:rFonts w:eastAsia="Times New Roman" w:cs="Arial"/>
          <w:color w:val="222222"/>
          <w:sz w:val="24"/>
          <w:szCs w:val="24"/>
        </w:rPr>
        <w:t>A gap might be linked to a specific application.</w:t>
      </w:r>
    </w:p>
    <w:p w:rsidR="00093C2E" w:rsidRPr="00BB5148" w:rsidRDefault="00093C2E" w:rsidP="00093C2E">
      <w:pPr>
        <w:rPr>
          <w:rFonts w:eastAsia="Times New Roman" w:cs="Arial"/>
          <w:color w:val="222222"/>
          <w:sz w:val="24"/>
          <w:szCs w:val="24"/>
          <w:shd w:val="clear" w:color="auto" w:fill="FFFFFF"/>
        </w:rPr>
      </w:pPr>
      <w:r w:rsidRPr="00BB5148">
        <w:rPr>
          <w:rFonts w:eastAsia="Times New Roman" w:cs="Arial"/>
          <w:color w:val="222222"/>
          <w:sz w:val="24"/>
          <w:szCs w:val="24"/>
        </w:rPr>
        <w:br/>
      </w:r>
      <w:r w:rsidRPr="00BB5148">
        <w:rPr>
          <w:rFonts w:eastAsia="Times New Roman" w:cs="Arial"/>
          <w:color w:val="222222"/>
          <w:sz w:val="24"/>
          <w:szCs w:val="24"/>
          <w:shd w:val="clear" w:color="auto" w:fill="FFFFFF"/>
        </w:rPr>
        <w:t>There might be other useful outcomes of that approach. </w:t>
      </w:r>
      <w:r w:rsidRPr="00BB5148">
        <w:rPr>
          <w:rFonts w:eastAsia="Times New Roman" w:cs="Arial"/>
          <w:color w:val="222222"/>
          <w:sz w:val="24"/>
          <w:szCs w:val="24"/>
        </w:rPr>
        <w:br/>
      </w:r>
      <w:r w:rsidRPr="00BB5148">
        <w:rPr>
          <w:rFonts w:eastAsia="Times New Roman" w:cs="Arial"/>
          <w:color w:val="222222"/>
          <w:sz w:val="24"/>
          <w:szCs w:val="24"/>
          <w:shd w:val="clear" w:color="auto" w:fill="FFFFFF"/>
        </w:rPr>
        <w:t xml:space="preserve">We could for example identify a complete 'taxonomy' of gaps across the logical architecture, choose which gap-types to tackle for CMRS-2 (rather than the whole lot) and have an analysis strategy for each one (for instance, if it's a lack of level 0 we do x, if it's an application having the ECVs but not at the required accuracy do y, </w:t>
      </w:r>
      <w:proofErr w:type="spellStart"/>
      <w:r w:rsidRPr="00BB5148">
        <w:rPr>
          <w:rFonts w:eastAsia="Times New Roman" w:cs="Arial"/>
          <w:color w:val="222222"/>
          <w:sz w:val="24"/>
          <w:szCs w:val="24"/>
          <w:shd w:val="clear" w:color="auto" w:fill="FFFFFF"/>
        </w:rPr>
        <w:t>etc</w:t>
      </w:r>
      <w:proofErr w:type="spellEnd"/>
      <w:r w:rsidRPr="00BB5148">
        <w:rPr>
          <w:rFonts w:eastAsia="Times New Roman" w:cs="Arial"/>
          <w:color w:val="222222"/>
          <w:sz w:val="24"/>
          <w:szCs w:val="24"/>
          <w:shd w:val="clear" w:color="auto" w:fill="FFFFFF"/>
        </w:rPr>
        <w:t xml:space="preserve">, </w:t>
      </w:r>
      <w:proofErr w:type="spellStart"/>
      <w:r w:rsidRPr="00BB5148">
        <w:rPr>
          <w:rFonts w:eastAsia="Times New Roman" w:cs="Arial"/>
          <w:color w:val="222222"/>
          <w:sz w:val="24"/>
          <w:szCs w:val="24"/>
          <w:shd w:val="clear" w:color="auto" w:fill="FFFFFF"/>
        </w:rPr>
        <w:t>etc</w:t>
      </w:r>
      <w:proofErr w:type="spellEnd"/>
      <w:r w:rsidRPr="00BB5148">
        <w:rPr>
          <w:rFonts w:eastAsia="Times New Roman" w:cs="Arial"/>
          <w:color w:val="222222"/>
          <w:sz w:val="24"/>
          <w:szCs w:val="24"/>
          <w:shd w:val="clear" w:color="auto" w:fill="FFFFFF"/>
        </w:rPr>
        <w:t xml:space="preserve">, </w:t>
      </w:r>
      <w:proofErr w:type="spellStart"/>
      <w:r w:rsidRPr="00BB5148">
        <w:rPr>
          <w:rFonts w:eastAsia="Times New Roman" w:cs="Arial"/>
          <w:color w:val="222222"/>
          <w:sz w:val="24"/>
          <w:szCs w:val="24"/>
          <w:shd w:val="clear" w:color="auto" w:fill="FFFFFF"/>
        </w:rPr>
        <w:t>etc</w:t>
      </w:r>
      <w:proofErr w:type="spellEnd"/>
      <w:r w:rsidRPr="00BB5148">
        <w:rPr>
          <w:rFonts w:eastAsia="Times New Roman" w:cs="Arial"/>
          <w:color w:val="222222"/>
          <w:sz w:val="24"/>
          <w:szCs w:val="24"/>
          <w:shd w:val="clear" w:color="auto" w:fill="FFFFFF"/>
        </w:rPr>
        <w:t>). </w:t>
      </w:r>
      <w:r w:rsidRPr="00BB5148">
        <w:rPr>
          <w:rFonts w:eastAsia="Times New Roman" w:cs="Arial"/>
          <w:color w:val="222222"/>
          <w:sz w:val="24"/>
          <w:szCs w:val="24"/>
        </w:rPr>
        <w:br/>
      </w:r>
      <w:r w:rsidRPr="00BB5148">
        <w:rPr>
          <w:rFonts w:eastAsia="Times New Roman" w:cs="Arial"/>
          <w:color w:val="222222"/>
          <w:sz w:val="24"/>
          <w:szCs w:val="24"/>
          <w:shd w:val="clear" w:color="auto" w:fill="FFFFFF"/>
        </w:rPr>
        <w:t>It might also help defining what a gap actually is. </w:t>
      </w:r>
      <w:r w:rsidRPr="00BB5148">
        <w:rPr>
          <w:rFonts w:eastAsia="Times New Roman" w:cs="Arial"/>
          <w:color w:val="222222"/>
          <w:sz w:val="24"/>
          <w:szCs w:val="24"/>
        </w:rPr>
        <w:br/>
      </w:r>
      <w:r w:rsidRPr="00BB5148">
        <w:rPr>
          <w:rFonts w:eastAsia="Times New Roman" w:cs="Arial"/>
          <w:color w:val="222222"/>
          <w:sz w:val="24"/>
          <w:szCs w:val="24"/>
          <w:shd w:val="clear" w:color="auto" w:fill="FFFFFF"/>
        </w:rPr>
        <w:t>The weak-point with this approach might be on the Decision-Making part of the logical view, how it would actually fit here, what does a gap mean really, but perhaps not relevant now anyway for CMRS-2 (at least not in the early iterations). </w:t>
      </w:r>
    </w:p>
    <w:p w:rsidR="00093C2E" w:rsidRPr="00BB5148" w:rsidRDefault="00093C2E" w:rsidP="00093C2E">
      <w:pPr>
        <w:rPr>
          <w:sz w:val="24"/>
          <w:szCs w:val="24"/>
        </w:rPr>
      </w:pPr>
      <w:r w:rsidRPr="00BB5148">
        <w:rPr>
          <w:rFonts w:eastAsia="Times New Roman" w:cs="Arial"/>
          <w:b/>
          <w:color w:val="222222"/>
          <w:sz w:val="24"/>
          <w:szCs w:val="24"/>
          <w:shd w:val="clear" w:color="auto" w:fill="FFFFFF"/>
        </w:rPr>
        <w:t>IV. Mitigation Plan and Action Plan</w:t>
      </w:r>
      <w:r w:rsidRPr="00BB5148">
        <w:rPr>
          <w:rFonts w:eastAsia="Times New Roman" w:cs="Arial"/>
          <w:color w:val="222222"/>
          <w:sz w:val="24"/>
          <w:szCs w:val="24"/>
          <w:shd w:val="clear" w:color="auto" w:fill="FFFFFF"/>
        </w:rPr>
        <w:t>. - TBD</w:t>
      </w:r>
    </w:p>
    <w:sectPr w:rsidR="00093C2E" w:rsidRPr="00BB5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F3F24"/>
    <w:multiLevelType w:val="hybridMultilevel"/>
    <w:tmpl w:val="30326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837B6"/>
    <w:multiLevelType w:val="multilevel"/>
    <w:tmpl w:val="E5B62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A33B55"/>
    <w:multiLevelType w:val="hybridMultilevel"/>
    <w:tmpl w:val="B65C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1653F4"/>
    <w:multiLevelType w:val="hybridMultilevel"/>
    <w:tmpl w:val="D7D2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0C0117"/>
    <w:multiLevelType w:val="multilevel"/>
    <w:tmpl w:val="F7E0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lvlOverride w:ilvl="0">
      <w:startOverride w:val="1"/>
    </w:lvlOverride>
  </w:num>
  <w:num w:numId="5">
    <w:abstractNumId w:val="1"/>
    <w:lvlOverride w:ilvl="0">
      <w:startOverride w:val="2"/>
    </w:lvlOverride>
  </w:num>
  <w:num w:numId="6">
    <w:abstractNumId w:val="1"/>
    <w:lvlOverride w:ilvl="0">
      <w:startOverride w:val="2"/>
    </w:lvlOverride>
  </w:num>
  <w:num w:numId="7">
    <w:abstractNumId w:val="1"/>
    <w:lvlOverride w:ilvl="0">
      <w:startOverride w:val="3"/>
    </w:lvlOverride>
  </w:num>
  <w:num w:numId="8">
    <w:abstractNumId w:val="1"/>
    <w:lvlOverride w:ilvl="0">
      <w:startOverride w:val="3"/>
    </w:lvlOverride>
  </w:num>
  <w:num w:numId="9">
    <w:abstractNumId w:val="1"/>
    <w:lvlOverride w:ilvl="0">
      <w:startOverride w:val="4"/>
    </w:lvlOverride>
  </w:num>
  <w:num w:numId="10">
    <w:abstractNumId w:val="1"/>
    <w:lvlOverride w:ilvl="0">
      <w:startOverride w:val="4"/>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4D2"/>
    <w:rsid w:val="0000186D"/>
    <w:rsid w:val="00093C2E"/>
    <w:rsid w:val="000C02CC"/>
    <w:rsid w:val="004569C7"/>
    <w:rsid w:val="00524A39"/>
    <w:rsid w:val="006264D2"/>
    <w:rsid w:val="008740E3"/>
    <w:rsid w:val="00A74478"/>
    <w:rsid w:val="00A93EFE"/>
    <w:rsid w:val="00AB3218"/>
    <w:rsid w:val="00B00331"/>
    <w:rsid w:val="00BB5148"/>
    <w:rsid w:val="00C76D75"/>
    <w:rsid w:val="00F23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AC31A8-4AAE-4214-9C4A-DFB10501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4D2"/>
    <w:pPr>
      <w:ind w:left="720"/>
      <w:contextualSpacing/>
    </w:pPr>
  </w:style>
  <w:style w:type="paragraph" w:styleId="Caption">
    <w:name w:val="caption"/>
    <w:basedOn w:val="Normal"/>
    <w:next w:val="Normal"/>
    <w:uiPriority w:val="35"/>
    <w:unhideWhenUsed/>
    <w:qFormat/>
    <w:rsid w:val="00C76D75"/>
    <w:pPr>
      <w:spacing w:after="200" w:line="240" w:lineRule="auto"/>
    </w:pPr>
    <w:rPr>
      <w:i/>
      <w:iCs/>
      <w:color w:val="44546A" w:themeColor="text2"/>
      <w:sz w:val="18"/>
      <w:szCs w:val="18"/>
    </w:rPr>
  </w:style>
  <w:style w:type="character" w:styleId="Hyperlink">
    <w:name w:val="Hyperlink"/>
    <w:basedOn w:val="DefaultParagraphFont"/>
    <w:uiPriority w:val="99"/>
    <w:unhideWhenUsed/>
    <w:rsid w:val="0000186D"/>
    <w:rPr>
      <w:color w:val="0563C1" w:themeColor="hyperlink"/>
      <w:u w:val="single"/>
    </w:rPr>
  </w:style>
  <w:style w:type="paragraph" w:styleId="BalloonText">
    <w:name w:val="Balloon Text"/>
    <w:basedOn w:val="Normal"/>
    <w:link w:val="BalloonTextChar"/>
    <w:uiPriority w:val="99"/>
    <w:semiHidden/>
    <w:unhideWhenUsed/>
    <w:rsid w:val="00093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C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07272">
      <w:bodyDiv w:val="1"/>
      <w:marLeft w:val="0"/>
      <w:marRight w:val="0"/>
      <w:marTop w:val="0"/>
      <w:marBottom w:val="0"/>
      <w:divBdr>
        <w:top w:val="none" w:sz="0" w:space="0" w:color="auto"/>
        <w:left w:val="none" w:sz="0" w:space="0" w:color="auto"/>
        <w:bottom w:val="none" w:sz="0" w:space="0" w:color="auto"/>
        <w:right w:val="none" w:sz="0" w:space="0" w:color="auto"/>
      </w:divBdr>
    </w:div>
    <w:div w:id="159404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hyperlink" Target="http://ecv-inventory.com/ecv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5C0CA6-2604-054F-B881-403D65A0527D}" type="doc">
      <dgm:prSet loTypeId="urn:microsoft.com/office/officeart/2005/8/layout/cycle1" loCatId="" qsTypeId="urn:microsoft.com/office/officeart/2005/8/quickstyle/simple4" qsCatId="simple" csTypeId="urn:microsoft.com/office/officeart/2005/8/colors/accent1_2" csCatId="accent1" phldr="1"/>
      <dgm:spPr/>
      <dgm:t>
        <a:bodyPr/>
        <a:lstStyle/>
        <a:p>
          <a:endParaRPr lang="en-US"/>
        </a:p>
      </dgm:t>
    </dgm:pt>
    <dgm:pt modelId="{B79DA9FB-B635-E34F-86A6-68615CD0F2BA}">
      <dgm:prSet phldrT="[Text]"/>
      <dgm:spPr>
        <a:xfrm>
          <a:off x="4830469" y="129598"/>
          <a:ext cx="2051372" cy="2051372"/>
        </a:xfrm>
        <a:noFill/>
        <a:ln>
          <a:noFill/>
        </a:ln>
        <a:effectLst/>
      </dgm:spPr>
      <dgm:t>
        <a:bodyPr/>
        <a:lstStyle/>
        <a:p>
          <a:r>
            <a:rPr lang="en-US" dirty="0" smtClean="0">
              <a:solidFill>
                <a:srgbClr val="000000">
                  <a:hueOff val="0"/>
                  <a:satOff val="0"/>
                  <a:lumOff val="0"/>
                  <a:alphaOff val="0"/>
                </a:srgbClr>
              </a:solidFill>
              <a:latin typeface="Arial"/>
              <a:ea typeface="+mn-ea"/>
              <a:cs typeface="+mn-cs"/>
            </a:rPr>
            <a:t>CEOS-CGMS ECV Inventory</a:t>
          </a:r>
        </a:p>
        <a:p>
          <a:r>
            <a:rPr lang="en-US" dirty="0" smtClean="0">
              <a:solidFill>
                <a:schemeClr val="tx1"/>
              </a:solidFill>
              <a:latin typeface="Arial"/>
              <a:ea typeface="+mn-ea"/>
              <a:cs typeface="+mn-cs"/>
            </a:rPr>
            <a:t>CMRS-1</a:t>
          </a:r>
          <a:endParaRPr lang="en-US" dirty="0">
            <a:solidFill>
              <a:schemeClr val="tx1"/>
            </a:solidFill>
            <a:latin typeface="Arial"/>
            <a:ea typeface="+mn-ea"/>
            <a:cs typeface="+mn-cs"/>
          </a:endParaRPr>
        </a:p>
      </dgm:t>
    </dgm:pt>
    <dgm:pt modelId="{552CB162-2DAF-874A-B41B-E747633C7EB2}" type="parTrans" cxnId="{BC3C0EC5-9C85-AA42-9296-93ED3CB1E6EB}">
      <dgm:prSet/>
      <dgm:spPr/>
      <dgm:t>
        <a:bodyPr/>
        <a:lstStyle/>
        <a:p>
          <a:endParaRPr lang="en-US"/>
        </a:p>
      </dgm:t>
    </dgm:pt>
    <dgm:pt modelId="{49BC2B89-B246-EA41-9109-9664F29D7F4F}" type="sibTrans" cxnId="{BC3C0EC5-9C85-AA42-9296-93ED3CB1E6EB}">
      <dgm:prSet/>
      <dgm:spPr>
        <a:xfrm>
          <a:off x="1218799" y="639"/>
          <a:ext cx="5792001" cy="5792001"/>
        </a:xfrm>
        <a:solidFill>
          <a:srgbClr val="333399"/>
        </a:solidFill>
        <a:ln>
          <a:noFill/>
        </a:ln>
        <a:effectLst>
          <a:outerShdw blurRad="40000" dist="23000" dir="5400000" rotWithShape="0">
            <a:srgbClr val="000000">
              <a:alpha val="35000"/>
            </a:srgbClr>
          </a:outerShdw>
        </a:effectLst>
      </dgm:spPr>
      <dgm:t>
        <a:bodyPr/>
        <a:lstStyle/>
        <a:p>
          <a:endParaRPr lang="en-US"/>
        </a:p>
      </dgm:t>
    </dgm:pt>
    <dgm:pt modelId="{E2C7B313-FF2A-EF4A-8A88-7916812C9956}">
      <dgm:prSet phldrT="[Text]"/>
      <dgm:spPr>
        <a:xfrm>
          <a:off x="4830469" y="3612309"/>
          <a:ext cx="2051372" cy="2051372"/>
        </a:xfrm>
        <a:noFill/>
        <a:ln>
          <a:noFill/>
        </a:ln>
        <a:effectLst/>
      </dgm:spPr>
      <dgm:t>
        <a:bodyPr/>
        <a:lstStyle/>
        <a:p>
          <a:r>
            <a:rPr lang="en-US" dirty="0" smtClean="0">
              <a:solidFill>
                <a:srgbClr val="000000"/>
              </a:solidFill>
              <a:latin typeface="Arial"/>
              <a:ea typeface="+mn-ea"/>
              <a:cs typeface="+mn-cs"/>
            </a:rPr>
            <a:t>Reference Assessment </a:t>
          </a:r>
        </a:p>
        <a:p>
          <a:r>
            <a:rPr lang="en-US" dirty="0" smtClean="0">
              <a:solidFill>
                <a:srgbClr val="000000"/>
              </a:solidFill>
              <a:latin typeface="Arial"/>
              <a:ea typeface="+mn-ea"/>
              <a:cs typeface="+mn-cs"/>
            </a:rPr>
            <a:t>Process</a:t>
          </a:r>
        </a:p>
        <a:p>
          <a:r>
            <a:rPr lang="en-US" dirty="0" smtClean="0">
              <a:solidFill>
                <a:schemeClr val="tx1"/>
              </a:solidFill>
              <a:latin typeface="Arial"/>
              <a:ea typeface="+mn-ea"/>
              <a:cs typeface="+mn-cs"/>
            </a:rPr>
            <a:t>CMRS-2</a:t>
          </a:r>
          <a:endParaRPr lang="en-US" dirty="0">
            <a:solidFill>
              <a:schemeClr val="tx1"/>
            </a:solidFill>
            <a:latin typeface="Arial"/>
            <a:ea typeface="+mn-ea"/>
            <a:cs typeface="+mn-cs"/>
          </a:endParaRPr>
        </a:p>
      </dgm:t>
    </dgm:pt>
    <dgm:pt modelId="{B2A02F98-1DB8-D447-8FDF-C803C6BD3EEA}" type="parTrans" cxnId="{2687673A-096E-FA4C-B7E4-CCE2FAB9560A}">
      <dgm:prSet/>
      <dgm:spPr/>
      <dgm:t>
        <a:bodyPr/>
        <a:lstStyle/>
        <a:p>
          <a:endParaRPr lang="en-US"/>
        </a:p>
      </dgm:t>
    </dgm:pt>
    <dgm:pt modelId="{FA13B08E-10D5-364E-830F-5B60281BC7F3}" type="sibTrans" cxnId="{2687673A-096E-FA4C-B7E4-CCE2FAB9560A}">
      <dgm:prSet/>
      <dgm:spPr>
        <a:xfrm>
          <a:off x="1279455" y="-16936"/>
          <a:ext cx="5792001" cy="5792001"/>
        </a:xfrm>
        <a:solidFill>
          <a:srgbClr val="333399"/>
        </a:solidFill>
        <a:ln>
          <a:noFill/>
        </a:ln>
        <a:effectLst>
          <a:outerShdw blurRad="40000" dist="23000" dir="5400000" rotWithShape="0">
            <a:srgbClr val="000000">
              <a:alpha val="35000"/>
            </a:srgbClr>
          </a:outerShdw>
        </a:effectLst>
      </dgm:spPr>
      <dgm:t>
        <a:bodyPr/>
        <a:lstStyle/>
        <a:p>
          <a:endParaRPr lang="en-US"/>
        </a:p>
      </dgm:t>
    </dgm:pt>
    <dgm:pt modelId="{5ED73F3B-50FD-7246-A469-1BBCE271FDEE}">
      <dgm:prSet phldrT="[Text]"/>
      <dgm:spPr>
        <a:xfrm>
          <a:off x="1292051" y="3500916"/>
          <a:ext cx="2051372" cy="2051372"/>
        </a:xfrm>
        <a:noFill/>
        <a:ln>
          <a:noFill/>
        </a:ln>
        <a:effectLst/>
      </dgm:spPr>
      <dgm:t>
        <a:bodyPr/>
        <a:lstStyle/>
        <a:p>
          <a:r>
            <a:rPr lang="en-US" dirty="0" smtClean="0">
              <a:solidFill>
                <a:srgbClr val="000000">
                  <a:hueOff val="0"/>
                  <a:satOff val="0"/>
                  <a:lumOff val="0"/>
                  <a:alphaOff val="0"/>
                </a:srgbClr>
              </a:solidFill>
              <a:latin typeface="Arial"/>
              <a:ea typeface="+mn-ea"/>
              <a:cs typeface="+mn-cs"/>
            </a:rPr>
            <a:t>ECV Gap</a:t>
          </a:r>
        </a:p>
        <a:p>
          <a:r>
            <a:rPr lang="en-US" dirty="0" smtClean="0">
              <a:solidFill>
                <a:srgbClr val="000000">
                  <a:hueOff val="0"/>
                  <a:satOff val="0"/>
                  <a:lumOff val="0"/>
                  <a:alphaOff val="0"/>
                </a:srgbClr>
              </a:solidFill>
              <a:latin typeface="Arial"/>
              <a:ea typeface="+mn-ea"/>
              <a:cs typeface="+mn-cs"/>
            </a:rPr>
            <a:t>Analysis</a:t>
          </a:r>
        </a:p>
        <a:p>
          <a:r>
            <a:rPr lang="en-US" dirty="0" smtClean="0">
              <a:solidFill>
                <a:schemeClr val="tx1"/>
              </a:solidFill>
              <a:latin typeface="Arial"/>
              <a:ea typeface="+mn-ea"/>
              <a:cs typeface="+mn-cs"/>
            </a:rPr>
            <a:t>CMRS-2</a:t>
          </a:r>
          <a:endParaRPr lang="en-US" dirty="0">
            <a:solidFill>
              <a:schemeClr val="tx1"/>
            </a:solidFill>
            <a:latin typeface="Arial"/>
            <a:ea typeface="+mn-ea"/>
            <a:cs typeface="+mn-cs"/>
          </a:endParaRPr>
        </a:p>
      </dgm:t>
    </dgm:pt>
    <dgm:pt modelId="{9E6E9639-E943-DE4D-A2F2-ADE192F57F2E}" type="parTrans" cxnId="{1FA3D9F6-8514-3149-8536-D9BD6143B4AC}">
      <dgm:prSet/>
      <dgm:spPr/>
      <dgm:t>
        <a:bodyPr/>
        <a:lstStyle/>
        <a:p>
          <a:endParaRPr lang="en-US"/>
        </a:p>
      </dgm:t>
    </dgm:pt>
    <dgm:pt modelId="{46826CA8-97BC-B04D-AC12-128384DAFC0E}" type="sibTrans" cxnId="{1FA3D9F6-8514-3149-8536-D9BD6143B4AC}">
      <dgm:prSet/>
      <dgm:spPr>
        <a:xfrm>
          <a:off x="1238303" y="-67046"/>
          <a:ext cx="5792001" cy="5792001"/>
        </a:xfrm>
        <a:solidFill>
          <a:srgbClr val="333399"/>
        </a:solidFill>
        <a:ln>
          <a:noFill/>
        </a:ln>
        <a:effectLst>
          <a:outerShdw blurRad="40000" dist="23000" dir="5400000" rotWithShape="0">
            <a:srgbClr val="000000">
              <a:alpha val="35000"/>
            </a:srgbClr>
          </a:outerShdw>
        </a:effectLst>
      </dgm:spPr>
      <dgm:t>
        <a:bodyPr/>
        <a:lstStyle/>
        <a:p>
          <a:endParaRPr lang="en-US"/>
        </a:p>
      </dgm:t>
    </dgm:pt>
    <dgm:pt modelId="{10452CAF-593F-DA4F-8A5A-A2380C4C4E5C}">
      <dgm:prSet phldrT="[Text]"/>
      <dgm:spPr>
        <a:xfrm>
          <a:off x="1347758" y="129598"/>
          <a:ext cx="2051372" cy="2051372"/>
        </a:xfrm>
        <a:noFill/>
        <a:ln>
          <a:noFill/>
        </a:ln>
        <a:effectLst/>
      </dgm:spPr>
      <dgm:t>
        <a:bodyPr/>
        <a:lstStyle/>
        <a:p>
          <a:r>
            <a:rPr lang="en-US" dirty="0" smtClean="0">
              <a:solidFill>
                <a:srgbClr val="000000">
                  <a:hueOff val="0"/>
                  <a:satOff val="0"/>
                  <a:lumOff val="0"/>
                  <a:alphaOff val="0"/>
                </a:srgbClr>
              </a:solidFill>
              <a:latin typeface="Arial"/>
              <a:ea typeface="+mn-ea"/>
              <a:cs typeface="+mn-cs"/>
            </a:rPr>
            <a:t>Mitigation</a:t>
          </a:r>
        </a:p>
        <a:p>
          <a:r>
            <a:rPr lang="en-US" dirty="0" smtClean="0">
              <a:solidFill>
                <a:srgbClr val="000000">
                  <a:hueOff val="0"/>
                  <a:satOff val="0"/>
                  <a:lumOff val="0"/>
                  <a:alphaOff val="0"/>
                </a:srgbClr>
              </a:solidFill>
              <a:latin typeface="Arial"/>
              <a:ea typeface="+mn-ea"/>
              <a:cs typeface="+mn-cs"/>
            </a:rPr>
            <a:t>Plan and</a:t>
          </a:r>
        </a:p>
        <a:p>
          <a:r>
            <a:rPr lang="en-US" dirty="0" smtClean="0">
              <a:solidFill>
                <a:srgbClr val="000000">
                  <a:hueOff val="0"/>
                  <a:satOff val="0"/>
                  <a:lumOff val="0"/>
                  <a:alphaOff val="0"/>
                </a:srgbClr>
              </a:solidFill>
              <a:latin typeface="Arial"/>
              <a:ea typeface="+mn-ea"/>
              <a:cs typeface="+mn-cs"/>
            </a:rPr>
            <a:t>Action Plan</a:t>
          </a:r>
        </a:p>
        <a:p>
          <a:r>
            <a:rPr lang="en-US" dirty="0" smtClean="0">
              <a:solidFill>
                <a:schemeClr val="tx1"/>
              </a:solidFill>
              <a:latin typeface="Arial"/>
              <a:ea typeface="+mn-ea"/>
              <a:cs typeface="+mn-cs"/>
            </a:rPr>
            <a:t>CMRS-3</a:t>
          </a:r>
          <a:endParaRPr lang="en-US" dirty="0">
            <a:solidFill>
              <a:schemeClr val="tx1"/>
            </a:solidFill>
            <a:latin typeface="Arial"/>
            <a:ea typeface="+mn-ea"/>
            <a:cs typeface="+mn-cs"/>
          </a:endParaRPr>
        </a:p>
      </dgm:t>
    </dgm:pt>
    <dgm:pt modelId="{29D276FF-577E-9340-9341-E6DC4330440B}" type="parTrans" cxnId="{913EB234-48E2-C84E-944D-C36CEA8A5FDF}">
      <dgm:prSet/>
      <dgm:spPr/>
      <dgm:t>
        <a:bodyPr/>
        <a:lstStyle/>
        <a:p>
          <a:endParaRPr lang="en-US"/>
        </a:p>
      </dgm:t>
    </dgm:pt>
    <dgm:pt modelId="{94DBE24B-EAFE-5043-94E5-FA8FA200D0CC}" type="sibTrans" cxnId="{913EB234-48E2-C84E-944D-C36CEA8A5FDF}">
      <dgm:prSet/>
      <dgm:spPr>
        <a:xfrm>
          <a:off x="1218799" y="-58497"/>
          <a:ext cx="5792001" cy="5792001"/>
        </a:xfrm>
        <a:solidFill>
          <a:srgbClr val="333399"/>
        </a:solidFill>
        <a:ln>
          <a:noFill/>
        </a:ln>
        <a:effectLst>
          <a:outerShdw blurRad="40000" dist="23000" dir="5400000" rotWithShape="0">
            <a:srgbClr val="000000">
              <a:alpha val="35000"/>
            </a:srgbClr>
          </a:outerShdw>
        </a:effectLst>
      </dgm:spPr>
      <dgm:t>
        <a:bodyPr/>
        <a:lstStyle/>
        <a:p>
          <a:endParaRPr lang="en-US"/>
        </a:p>
      </dgm:t>
    </dgm:pt>
    <dgm:pt modelId="{1175232F-A3D6-F94F-AEBC-D89E03DEBC31}" type="pres">
      <dgm:prSet presAssocID="{0E5C0CA6-2604-054F-B881-403D65A0527D}" presName="cycle" presStyleCnt="0">
        <dgm:presLayoutVars>
          <dgm:dir/>
          <dgm:resizeHandles val="exact"/>
        </dgm:presLayoutVars>
      </dgm:prSet>
      <dgm:spPr/>
      <dgm:t>
        <a:bodyPr/>
        <a:lstStyle/>
        <a:p>
          <a:endParaRPr lang="en-US"/>
        </a:p>
      </dgm:t>
    </dgm:pt>
    <dgm:pt modelId="{245D103A-43BB-7D4C-9F39-B62B944EF305}" type="pres">
      <dgm:prSet presAssocID="{B79DA9FB-B635-E34F-86A6-68615CD0F2BA}" presName="dummy" presStyleCnt="0"/>
      <dgm:spPr/>
    </dgm:pt>
    <dgm:pt modelId="{D74F7E72-F0FD-8849-8044-C721D96E0844}" type="pres">
      <dgm:prSet presAssocID="{B79DA9FB-B635-E34F-86A6-68615CD0F2BA}" presName="node" presStyleLbl="revTx" presStyleIdx="0" presStyleCnt="4">
        <dgm:presLayoutVars>
          <dgm:bulletEnabled val="1"/>
        </dgm:presLayoutVars>
      </dgm:prSet>
      <dgm:spPr>
        <a:prstGeom prst="rect">
          <a:avLst/>
        </a:prstGeom>
      </dgm:spPr>
      <dgm:t>
        <a:bodyPr/>
        <a:lstStyle/>
        <a:p>
          <a:endParaRPr lang="en-US"/>
        </a:p>
      </dgm:t>
    </dgm:pt>
    <dgm:pt modelId="{071209F2-7290-6141-9504-B4550094A8FB}" type="pres">
      <dgm:prSet presAssocID="{49BC2B89-B246-EA41-9109-9664F29D7F4F}" presName="sibTrans" presStyleLbl="node1" presStyleIdx="0" presStyleCnt="4"/>
      <dgm:spPr>
        <a:prstGeom prst="circularArrow">
          <a:avLst>
            <a:gd name="adj1" fmla="val 6906"/>
            <a:gd name="adj2" fmla="val 465695"/>
            <a:gd name="adj3" fmla="val 547972"/>
            <a:gd name="adj4" fmla="val 20586333"/>
            <a:gd name="adj5" fmla="val 8057"/>
          </a:avLst>
        </a:prstGeom>
      </dgm:spPr>
      <dgm:t>
        <a:bodyPr/>
        <a:lstStyle/>
        <a:p>
          <a:endParaRPr lang="en-US"/>
        </a:p>
      </dgm:t>
    </dgm:pt>
    <dgm:pt modelId="{B015DCE8-2186-0C47-8464-750E16CCDE88}" type="pres">
      <dgm:prSet presAssocID="{E2C7B313-FF2A-EF4A-8A88-7916812C9956}" presName="dummy" presStyleCnt="0"/>
      <dgm:spPr/>
    </dgm:pt>
    <dgm:pt modelId="{1A662AE3-A963-5B4E-AD1E-CD11E9B6271A}" type="pres">
      <dgm:prSet presAssocID="{E2C7B313-FF2A-EF4A-8A88-7916812C9956}" presName="node" presStyleLbl="revTx" presStyleIdx="1" presStyleCnt="4">
        <dgm:presLayoutVars>
          <dgm:bulletEnabled val="1"/>
        </dgm:presLayoutVars>
      </dgm:prSet>
      <dgm:spPr>
        <a:prstGeom prst="rect">
          <a:avLst/>
        </a:prstGeom>
      </dgm:spPr>
      <dgm:t>
        <a:bodyPr/>
        <a:lstStyle/>
        <a:p>
          <a:endParaRPr lang="en-US"/>
        </a:p>
      </dgm:t>
    </dgm:pt>
    <dgm:pt modelId="{241F3594-1DB6-164C-ACAC-EEDDEF88B3BB}" type="pres">
      <dgm:prSet presAssocID="{FA13B08E-10D5-364E-830F-5B60281BC7F3}" presName="sibTrans" presStyleLbl="node1" presStyleIdx="1" presStyleCnt="4"/>
      <dgm:spPr>
        <a:prstGeom prst="circularArrow">
          <a:avLst>
            <a:gd name="adj1" fmla="val 6906"/>
            <a:gd name="adj2" fmla="val 465695"/>
            <a:gd name="adj3" fmla="val 6119101"/>
            <a:gd name="adj4" fmla="val 4474491"/>
            <a:gd name="adj5" fmla="val 8057"/>
          </a:avLst>
        </a:prstGeom>
      </dgm:spPr>
      <dgm:t>
        <a:bodyPr/>
        <a:lstStyle/>
        <a:p>
          <a:endParaRPr lang="en-US"/>
        </a:p>
      </dgm:t>
    </dgm:pt>
    <dgm:pt modelId="{B9A01B3B-D566-D843-A601-2D8745000DF9}" type="pres">
      <dgm:prSet presAssocID="{5ED73F3B-50FD-7246-A469-1BBCE271FDEE}" presName="dummy" presStyleCnt="0"/>
      <dgm:spPr/>
    </dgm:pt>
    <dgm:pt modelId="{1F15B2D8-CBB0-0145-A1B8-E6F6BE971529}" type="pres">
      <dgm:prSet presAssocID="{5ED73F3B-50FD-7246-A469-1BBCE271FDEE}" presName="node" presStyleLbl="revTx" presStyleIdx="2" presStyleCnt="4" custRadScaleRad="98518" custRadScaleInc="9305">
        <dgm:presLayoutVars>
          <dgm:bulletEnabled val="1"/>
        </dgm:presLayoutVars>
      </dgm:prSet>
      <dgm:spPr>
        <a:prstGeom prst="rect">
          <a:avLst/>
        </a:prstGeom>
      </dgm:spPr>
      <dgm:t>
        <a:bodyPr/>
        <a:lstStyle/>
        <a:p>
          <a:endParaRPr lang="en-US"/>
        </a:p>
      </dgm:t>
    </dgm:pt>
    <dgm:pt modelId="{BD261BBB-B6D4-5E44-948C-2A2B34997C41}" type="pres">
      <dgm:prSet presAssocID="{46826CA8-97BC-B04D-AC12-128384DAFC0E}" presName="sibTrans" presStyleLbl="node1" presStyleIdx="2" presStyleCnt="4"/>
      <dgm:spPr>
        <a:prstGeom prst="circularArrow">
          <a:avLst>
            <a:gd name="adj1" fmla="val 6906"/>
            <a:gd name="adj2" fmla="val 465695"/>
            <a:gd name="adj3" fmla="val 11249637"/>
            <a:gd name="adj4" fmla="val 9849922"/>
            <a:gd name="adj5" fmla="val 8057"/>
          </a:avLst>
        </a:prstGeom>
      </dgm:spPr>
      <dgm:t>
        <a:bodyPr/>
        <a:lstStyle/>
        <a:p>
          <a:endParaRPr lang="en-US"/>
        </a:p>
      </dgm:t>
    </dgm:pt>
    <dgm:pt modelId="{2CB39A90-BFCA-DE41-BE89-ED9167A9567E}" type="pres">
      <dgm:prSet presAssocID="{10452CAF-593F-DA4F-8A5A-A2380C4C4E5C}" presName="dummy" presStyleCnt="0"/>
      <dgm:spPr/>
    </dgm:pt>
    <dgm:pt modelId="{B9B5FCFE-5934-BE47-A670-8A8095B372C9}" type="pres">
      <dgm:prSet presAssocID="{10452CAF-593F-DA4F-8A5A-A2380C4C4E5C}" presName="node" presStyleLbl="revTx" presStyleIdx="3" presStyleCnt="4">
        <dgm:presLayoutVars>
          <dgm:bulletEnabled val="1"/>
        </dgm:presLayoutVars>
      </dgm:prSet>
      <dgm:spPr>
        <a:prstGeom prst="rect">
          <a:avLst/>
        </a:prstGeom>
      </dgm:spPr>
      <dgm:t>
        <a:bodyPr/>
        <a:lstStyle/>
        <a:p>
          <a:endParaRPr lang="en-US"/>
        </a:p>
      </dgm:t>
    </dgm:pt>
    <dgm:pt modelId="{A794E433-BFEF-464D-9E12-10D8C84B41F5}" type="pres">
      <dgm:prSet presAssocID="{94DBE24B-EAFE-5043-94E5-FA8FA200D0CC}" presName="sibTrans" presStyleLbl="node1" presStyleIdx="3" presStyleCnt="4" custLinFactNeighborY="-1021"/>
      <dgm:spPr>
        <a:prstGeom prst="circularArrow">
          <a:avLst>
            <a:gd name="adj1" fmla="val 6906"/>
            <a:gd name="adj2" fmla="val 465695"/>
            <a:gd name="adj3" fmla="val 16747972"/>
            <a:gd name="adj4" fmla="val 15186333"/>
            <a:gd name="adj5" fmla="val 8057"/>
          </a:avLst>
        </a:prstGeom>
      </dgm:spPr>
      <dgm:t>
        <a:bodyPr/>
        <a:lstStyle/>
        <a:p>
          <a:endParaRPr lang="en-US"/>
        </a:p>
      </dgm:t>
    </dgm:pt>
  </dgm:ptLst>
  <dgm:cxnLst>
    <dgm:cxn modelId="{30ED1EE4-7BEB-44A3-8DA0-58313EDB6C1B}" type="presOf" srcId="{E2C7B313-FF2A-EF4A-8A88-7916812C9956}" destId="{1A662AE3-A963-5B4E-AD1E-CD11E9B6271A}" srcOrd="0" destOrd="0" presId="urn:microsoft.com/office/officeart/2005/8/layout/cycle1"/>
    <dgm:cxn modelId="{1FA3D9F6-8514-3149-8536-D9BD6143B4AC}" srcId="{0E5C0CA6-2604-054F-B881-403D65A0527D}" destId="{5ED73F3B-50FD-7246-A469-1BBCE271FDEE}" srcOrd="2" destOrd="0" parTransId="{9E6E9639-E943-DE4D-A2F2-ADE192F57F2E}" sibTransId="{46826CA8-97BC-B04D-AC12-128384DAFC0E}"/>
    <dgm:cxn modelId="{2687673A-096E-FA4C-B7E4-CCE2FAB9560A}" srcId="{0E5C0CA6-2604-054F-B881-403D65A0527D}" destId="{E2C7B313-FF2A-EF4A-8A88-7916812C9956}" srcOrd="1" destOrd="0" parTransId="{B2A02F98-1DB8-D447-8FDF-C803C6BD3EEA}" sibTransId="{FA13B08E-10D5-364E-830F-5B60281BC7F3}"/>
    <dgm:cxn modelId="{33082B7A-AD3D-4F33-A125-7C70C268C19E}" type="presOf" srcId="{94DBE24B-EAFE-5043-94E5-FA8FA200D0CC}" destId="{A794E433-BFEF-464D-9E12-10D8C84B41F5}" srcOrd="0" destOrd="0" presId="urn:microsoft.com/office/officeart/2005/8/layout/cycle1"/>
    <dgm:cxn modelId="{26C55757-14A4-4D17-90FD-47CA4D9EA9D8}" type="presOf" srcId="{5ED73F3B-50FD-7246-A469-1BBCE271FDEE}" destId="{1F15B2D8-CBB0-0145-A1B8-E6F6BE971529}" srcOrd="0" destOrd="0" presId="urn:microsoft.com/office/officeart/2005/8/layout/cycle1"/>
    <dgm:cxn modelId="{28E7B74E-4BE5-4745-A067-98BFFD2A5E92}" type="presOf" srcId="{49BC2B89-B246-EA41-9109-9664F29D7F4F}" destId="{071209F2-7290-6141-9504-B4550094A8FB}" srcOrd="0" destOrd="0" presId="urn:microsoft.com/office/officeart/2005/8/layout/cycle1"/>
    <dgm:cxn modelId="{1437EEB1-7F3D-4D1A-9EE7-E9ECC08FEAB2}" type="presOf" srcId="{B79DA9FB-B635-E34F-86A6-68615CD0F2BA}" destId="{D74F7E72-F0FD-8849-8044-C721D96E0844}" srcOrd="0" destOrd="0" presId="urn:microsoft.com/office/officeart/2005/8/layout/cycle1"/>
    <dgm:cxn modelId="{BC3C0EC5-9C85-AA42-9296-93ED3CB1E6EB}" srcId="{0E5C0CA6-2604-054F-B881-403D65A0527D}" destId="{B79DA9FB-B635-E34F-86A6-68615CD0F2BA}" srcOrd="0" destOrd="0" parTransId="{552CB162-2DAF-874A-B41B-E747633C7EB2}" sibTransId="{49BC2B89-B246-EA41-9109-9664F29D7F4F}"/>
    <dgm:cxn modelId="{9C498860-4A43-4321-952A-930DE3762D1E}" type="presOf" srcId="{FA13B08E-10D5-364E-830F-5B60281BC7F3}" destId="{241F3594-1DB6-164C-ACAC-EEDDEF88B3BB}" srcOrd="0" destOrd="0" presId="urn:microsoft.com/office/officeart/2005/8/layout/cycle1"/>
    <dgm:cxn modelId="{913EB234-48E2-C84E-944D-C36CEA8A5FDF}" srcId="{0E5C0CA6-2604-054F-B881-403D65A0527D}" destId="{10452CAF-593F-DA4F-8A5A-A2380C4C4E5C}" srcOrd="3" destOrd="0" parTransId="{29D276FF-577E-9340-9341-E6DC4330440B}" sibTransId="{94DBE24B-EAFE-5043-94E5-FA8FA200D0CC}"/>
    <dgm:cxn modelId="{3A7B1B69-D870-4E7F-8C29-D6EFFA160F40}" type="presOf" srcId="{10452CAF-593F-DA4F-8A5A-A2380C4C4E5C}" destId="{B9B5FCFE-5934-BE47-A670-8A8095B372C9}" srcOrd="0" destOrd="0" presId="urn:microsoft.com/office/officeart/2005/8/layout/cycle1"/>
    <dgm:cxn modelId="{330B5B6E-C88A-4045-9ABF-170BD9C63FC6}" type="presOf" srcId="{46826CA8-97BC-B04D-AC12-128384DAFC0E}" destId="{BD261BBB-B6D4-5E44-948C-2A2B34997C41}" srcOrd="0" destOrd="0" presId="urn:microsoft.com/office/officeart/2005/8/layout/cycle1"/>
    <dgm:cxn modelId="{13923C9B-35EF-44BC-899E-C4DA86FD3E56}" type="presOf" srcId="{0E5C0CA6-2604-054F-B881-403D65A0527D}" destId="{1175232F-A3D6-F94F-AEBC-D89E03DEBC31}" srcOrd="0" destOrd="0" presId="urn:microsoft.com/office/officeart/2005/8/layout/cycle1"/>
    <dgm:cxn modelId="{EB058B9B-72EB-4E3F-8FE8-AFB61156B530}" type="presParOf" srcId="{1175232F-A3D6-F94F-AEBC-D89E03DEBC31}" destId="{245D103A-43BB-7D4C-9F39-B62B944EF305}" srcOrd="0" destOrd="0" presId="urn:microsoft.com/office/officeart/2005/8/layout/cycle1"/>
    <dgm:cxn modelId="{65D09728-275E-47D9-8365-937D1906EFB6}" type="presParOf" srcId="{1175232F-A3D6-F94F-AEBC-D89E03DEBC31}" destId="{D74F7E72-F0FD-8849-8044-C721D96E0844}" srcOrd="1" destOrd="0" presId="urn:microsoft.com/office/officeart/2005/8/layout/cycle1"/>
    <dgm:cxn modelId="{4289A1FA-1737-4638-97B0-78FB81156F80}" type="presParOf" srcId="{1175232F-A3D6-F94F-AEBC-D89E03DEBC31}" destId="{071209F2-7290-6141-9504-B4550094A8FB}" srcOrd="2" destOrd="0" presId="urn:microsoft.com/office/officeart/2005/8/layout/cycle1"/>
    <dgm:cxn modelId="{2491B624-A23E-418E-BCCF-8AD535837BD6}" type="presParOf" srcId="{1175232F-A3D6-F94F-AEBC-D89E03DEBC31}" destId="{B015DCE8-2186-0C47-8464-750E16CCDE88}" srcOrd="3" destOrd="0" presId="urn:microsoft.com/office/officeart/2005/8/layout/cycle1"/>
    <dgm:cxn modelId="{4FB380AA-792F-4CEA-93AF-1F399E6D76F9}" type="presParOf" srcId="{1175232F-A3D6-F94F-AEBC-D89E03DEBC31}" destId="{1A662AE3-A963-5B4E-AD1E-CD11E9B6271A}" srcOrd="4" destOrd="0" presId="urn:microsoft.com/office/officeart/2005/8/layout/cycle1"/>
    <dgm:cxn modelId="{8F4B938D-9C63-4D71-B52B-3EE33A7428F9}" type="presParOf" srcId="{1175232F-A3D6-F94F-AEBC-D89E03DEBC31}" destId="{241F3594-1DB6-164C-ACAC-EEDDEF88B3BB}" srcOrd="5" destOrd="0" presId="urn:microsoft.com/office/officeart/2005/8/layout/cycle1"/>
    <dgm:cxn modelId="{FF672070-536F-4105-8099-B39014B291EB}" type="presParOf" srcId="{1175232F-A3D6-F94F-AEBC-D89E03DEBC31}" destId="{B9A01B3B-D566-D843-A601-2D8745000DF9}" srcOrd="6" destOrd="0" presId="urn:microsoft.com/office/officeart/2005/8/layout/cycle1"/>
    <dgm:cxn modelId="{AC4613D3-E44C-46A7-9517-B0659022947C}" type="presParOf" srcId="{1175232F-A3D6-F94F-AEBC-D89E03DEBC31}" destId="{1F15B2D8-CBB0-0145-A1B8-E6F6BE971529}" srcOrd="7" destOrd="0" presId="urn:microsoft.com/office/officeart/2005/8/layout/cycle1"/>
    <dgm:cxn modelId="{F78FD12C-12A2-4A23-814A-A9514BA41449}" type="presParOf" srcId="{1175232F-A3D6-F94F-AEBC-D89E03DEBC31}" destId="{BD261BBB-B6D4-5E44-948C-2A2B34997C41}" srcOrd="8" destOrd="0" presId="urn:microsoft.com/office/officeart/2005/8/layout/cycle1"/>
    <dgm:cxn modelId="{63A6999B-87C4-4FB2-8ECD-0FC8E4E9403F}" type="presParOf" srcId="{1175232F-A3D6-F94F-AEBC-D89E03DEBC31}" destId="{2CB39A90-BFCA-DE41-BE89-ED9167A9567E}" srcOrd="9" destOrd="0" presId="urn:microsoft.com/office/officeart/2005/8/layout/cycle1"/>
    <dgm:cxn modelId="{0CCA6A97-F3A8-4959-8547-54EEBB37E185}" type="presParOf" srcId="{1175232F-A3D6-F94F-AEBC-D89E03DEBC31}" destId="{B9B5FCFE-5934-BE47-A670-8A8095B372C9}" srcOrd="10" destOrd="0" presId="urn:microsoft.com/office/officeart/2005/8/layout/cycle1"/>
    <dgm:cxn modelId="{1684D604-6551-46C1-9891-F4071C07DC84}" type="presParOf" srcId="{1175232F-A3D6-F94F-AEBC-D89E03DEBC31}" destId="{A794E433-BFEF-464D-9E12-10D8C84B41F5}" srcOrd="11" destOrd="0" presId="urn:microsoft.com/office/officeart/2005/8/layout/cycle1"/>
  </dgm:cxnLst>
  <dgm:bg/>
  <dgm:whole>
    <a:ln>
      <a:solidFill>
        <a:schemeClr val="tx1"/>
      </a:solidFill>
    </a:ln>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4F7E72-F0FD-8849-8044-C721D96E0844}">
      <dsp:nvSpPr>
        <dsp:cNvPr id="0" name=""/>
        <dsp:cNvSpPr/>
      </dsp:nvSpPr>
      <dsp:spPr>
        <a:xfrm>
          <a:off x="3375675" y="73791"/>
          <a:ext cx="1156506" cy="11565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kern="1200" dirty="0" smtClean="0">
              <a:solidFill>
                <a:srgbClr val="000000">
                  <a:hueOff val="0"/>
                  <a:satOff val="0"/>
                  <a:lumOff val="0"/>
                  <a:alphaOff val="0"/>
                </a:srgbClr>
              </a:solidFill>
              <a:latin typeface="Arial"/>
              <a:ea typeface="+mn-ea"/>
              <a:cs typeface="+mn-cs"/>
            </a:rPr>
            <a:t>CEOS-CGMS ECV Inventory</a:t>
          </a:r>
        </a:p>
        <a:p>
          <a:pPr lvl="0" algn="ctr" defTabSz="711200">
            <a:lnSpc>
              <a:spcPct val="90000"/>
            </a:lnSpc>
            <a:spcBef>
              <a:spcPct val="0"/>
            </a:spcBef>
            <a:spcAft>
              <a:spcPct val="35000"/>
            </a:spcAft>
          </a:pPr>
          <a:r>
            <a:rPr lang="en-US" sz="1600" kern="1200" dirty="0" smtClean="0">
              <a:solidFill>
                <a:schemeClr val="tx1"/>
              </a:solidFill>
              <a:latin typeface="Arial"/>
              <a:ea typeface="+mn-ea"/>
              <a:cs typeface="+mn-cs"/>
            </a:rPr>
            <a:t>CMRS-1</a:t>
          </a:r>
          <a:endParaRPr lang="en-US" sz="1600" kern="1200" dirty="0">
            <a:solidFill>
              <a:schemeClr val="tx1"/>
            </a:solidFill>
            <a:latin typeface="Arial"/>
            <a:ea typeface="+mn-ea"/>
            <a:cs typeface="+mn-cs"/>
          </a:endParaRPr>
        </a:p>
      </dsp:txBody>
      <dsp:txXfrm>
        <a:off x="3375675" y="73791"/>
        <a:ext cx="1156506" cy="1156506"/>
      </dsp:txXfrm>
    </dsp:sp>
    <dsp:sp modelId="{071209F2-7290-6141-9504-B4550094A8FB}">
      <dsp:nvSpPr>
        <dsp:cNvPr id="0" name=""/>
        <dsp:cNvSpPr/>
      </dsp:nvSpPr>
      <dsp:spPr>
        <a:xfrm>
          <a:off x="1338548" y="921"/>
          <a:ext cx="3266502" cy="3266502"/>
        </a:xfrm>
        <a:prstGeom prst="circularArrow">
          <a:avLst>
            <a:gd name="adj1" fmla="val 6906"/>
            <a:gd name="adj2" fmla="val 465695"/>
            <a:gd name="adj3" fmla="val 547972"/>
            <a:gd name="adj4" fmla="val 20586333"/>
            <a:gd name="adj5" fmla="val 8057"/>
          </a:avLst>
        </a:prstGeom>
        <a:solidFill>
          <a:srgbClr val="333399"/>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A662AE3-A963-5B4E-AD1E-CD11E9B6271A}">
      <dsp:nvSpPr>
        <dsp:cNvPr id="0" name=""/>
        <dsp:cNvSpPr/>
      </dsp:nvSpPr>
      <dsp:spPr>
        <a:xfrm>
          <a:off x="3375675" y="2038047"/>
          <a:ext cx="1156506" cy="11565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kern="1200" dirty="0" smtClean="0">
              <a:solidFill>
                <a:srgbClr val="000000"/>
              </a:solidFill>
              <a:latin typeface="Arial"/>
              <a:ea typeface="+mn-ea"/>
              <a:cs typeface="+mn-cs"/>
            </a:rPr>
            <a:t>Reference Assessment </a:t>
          </a:r>
        </a:p>
        <a:p>
          <a:pPr lvl="0" algn="ctr" defTabSz="711200">
            <a:lnSpc>
              <a:spcPct val="90000"/>
            </a:lnSpc>
            <a:spcBef>
              <a:spcPct val="0"/>
            </a:spcBef>
            <a:spcAft>
              <a:spcPct val="35000"/>
            </a:spcAft>
          </a:pPr>
          <a:r>
            <a:rPr lang="en-US" sz="1600" kern="1200" dirty="0" smtClean="0">
              <a:solidFill>
                <a:srgbClr val="000000"/>
              </a:solidFill>
              <a:latin typeface="Arial"/>
              <a:ea typeface="+mn-ea"/>
              <a:cs typeface="+mn-cs"/>
            </a:rPr>
            <a:t>Process</a:t>
          </a:r>
        </a:p>
        <a:p>
          <a:pPr lvl="0" algn="ctr" defTabSz="711200">
            <a:lnSpc>
              <a:spcPct val="90000"/>
            </a:lnSpc>
            <a:spcBef>
              <a:spcPct val="0"/>
            </a:spcBef>
            <a:spcAft>
              <a:spcPct val="35000"/>
            </a:spcAft>
          </a:pPr>
          <a:r>
            <a:rPr lang="en-US" sz="1600" kern="1200" dirty="0" smtClean="0">
              <a:solidFill>
                <a:schemeClr val="tx1"/>
              </a:solidFill>
              <a:latin typeface="Arial"/>
              <a:ea typeface="+mn-ea"/>
              <a:cs typeface="+mn-cs"/>
            </a:rPr>
            <a:t>CMRS-2</a:t>
          </a:r>
          <a:endParaRPr lang="en-US" sz="1600" kern="1200" dirty="0">
            <a:solidFill>
              <a:schemeClr val="tx1"/>
            </a:solidFill>
            <a:latin typeface="Arial"/>
            <a:ea typeface="+mn-ea"/>
            <a:cs typeface="+mn-cs"/>
          </a:endParaRPr>
        </a:p>
      </dsp:txBody>
      <dsp:txXfrm>
        <a:off x="3375675" y="2038047"/>
        <a:ext cx="1156506" cy="1156506"/>
      </dsp:txXfrm>
    </dsp:sp>
    <dsp:sp modelId="{241F3594-1DB6-164C-ACAC-EEDDEF88B3BB}">
      <dsp:nvSpPr>
        <dsp:cNvPr id="0" name=""/>
        <dsp:cNvSpPr/>
      </dsp:nvSpPr>
      <dsp:spPr>
        <a:xfrm>
          <a:off x="1372739" y="-8992"/>
          <a:ext cx="3266502" cy="3266502"/>
        </a:xfrm>
        <a:prstGeom prst="circularArrow">
          <a:avLst>
            <a:gd name="adj1" fmla="val 6906"/>
            <a:gd name="adj2" fmla="val 465695"/>
            <a:gd name="adj3" fmla="val 6119101"/>
            <a:gd name="adj4" fmla="val 4474491"/>
            <a:gd name="adj5" fmla="val 8057"/>
          </a:avLst>
        </a:prstGeom>
        <a:solidFill>
          <a:srgbClr val="333399"/>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F15B2D8-CBB0-0145-A1B8-E6F6BE971529}">
      <dsp:nvSpPr>
        <dsp:cNvPr id="0" name=""/>
        <dsp:cNvSpPr/>
      </dsp:nvSpPr>
      <dsp:spPr>
        <a:xfrm>
          <a:off x="1379999" y="1975222"/>
          <a:ext cx="1156506" cy="11565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kern="1200" dirty="0" smtClean="0">
              <a:solidFill>
                <a:srgbClr val="000000">
                  <a:hueOff val="0"/>
                  <a:satOff val="0"/>
                  <a:lumOff val="0"/>
                  <a:alphaOff val="0"/>
                </a:srgbClr>
              </a:solidFill>
              <a:latin typeface="Arial"/>
              <a:ea typeface="+mn-ea"/>
              <a:cs typeface="+mn-cs"/>
            </a:rPr>
            <a:t>ECV Gap</a:t>
          </a:r>
        </a:p>
        <a:p>
          <a:pPr lvl="0" algn="ctr" defTabSz="711200">
            <a:lnSpc>
              <a:spcPct val="90000"/>
            </a:lnSpc>
            <a:spcBef>
              <a:spcPct val="0"/>
            </a:spcBef>
            <a:spcAft>
              <a:spcPct val="35000"/>
            </a:spcAft>
          </a:pPr>
          <a:r>
            <a:rPr lang="en-US" sz="1600" kern="1200" dirty="0" smtClean="0">
              <a:solidFill>
                <a:srgbClr val="000000">
                  <a:hueOff val="0"/>
                  <a:satOff val="0"/>
                  <a:lumOff val="0"/>
                  <a:alphaOff val="0"/>
                </a:srgbClr>
              </a:solidFill>
              <a:latin typeface="Arial"/>
              <a:ea typeface="+mn-ea"/>
              <a:cs typeface="+mn-cs"/>
            </a:rPr>
            <a:t>Analysis</a:t>
          </a:r>
        </a:p>
        <a:p>
          <a:pPr lvl="0" algn="ctr" defTabSz="711200">
            <a:lnSpc>
              <a:spcPct val="90000"/>
            </a:lnSpc>
            <a:spcBef>
              <a:spcPct val="0"/>
            </a:spcBef>
            <a:spcAft>
              <a:spcPct val="35000"/>
            </a:spcAft>
          </a:pPr>
          <a:r>
            <a:rPr lang="en-US" sz="1600" kern="1200" dirty="0" smtClean="0">
              <a:solidFill>
                <a:schemeClr val="tx1"/>
              </a:solidFill>
              <a:latin typeface="Arial"/>
              <a:ea typeface="+mn-ea"/>
              <a:cs typeface="+mn-cs"/>
            </a:rPr>
            <a:t>CMRS-2</a:t>
          </a:r>
          <a:endParaRPr lang="en-US" sz="1600" kern="1200" dirty="0">
            <a:solidFill>
              <a:schemeClr val="tx1"/>
            </a:solidFill>
            <a:latin typeface="Arial"/>
            <a:ea typeface="+mn-ea"/>
            <a:cs typeface="+mn-cs"/>
          </a:endParaRPr>
        </a:p>
      </dsp:txBody>
      <dsp:txXfrm>
        <a:off x="1379999" y="1975222"/>
        <a:ext cx="1156506" cy="1156506"/>
      </dsp:txXfrm>
    </dsp:sp>
    <dsp:sp modelId="{BD261BBB-B6D4-5E44-948C-2A2B34997C41}">
      <dsp:nvSpPr>
        <dsp:cNvPr id="0" name=""/>
        <dsp:cNvSpPr/>
      </dsp:nvSpPr>
      <dsp:spPr>
        <a:xfrm>
          <a:off x="1349550" y="-37229"/>
          <a:ext cx="3266502" cy="3266502"/>
        </a:xfrm>
        <a:prstGeom prst="circularArrow">
          <a:avLst>
            <a:gd name="adj1" fmla="val 6906"/>
            <a:gd name="adj2" fmla="val 465695"/>
            <a:gd name="adj3" fmla="val 11249637"/>
            <a:gd name="adj4" fmla="val 9849922"/>
            <a:gd name="adj5" fmla="val 8057"/>
          </a:avLst>
        </a:prstGeom>
        <a:solidFill>
          <a:srgbClr val="333399"/>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9B5FCFE-5934-BE47-A670-8A8095B372C9}">
      <dsp:nvSpPr>
        <dsp:cNvPr id="0" name=""/>
        <dsp:cNvSpPr/>
      </dsp:nvSpPr>
      <dsp:spPr>
        <a:xfrm>
          <a:off x="1411418" y="73791"/>
          <a:ext cx="1156506" cy="11565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kern="1200" dirty="0" smtClean="0">
              <a:solidFill>
                <a:srgbClr val="000000">
                  <a:hueOff val="0"/>
                  <a:satOff val="0"/>
                  <a:lumOff val="0"/>
                  <a:alphaOff val="0"/>
                </a:srgbClr>
              </a:solidFill>
              <a:latin typeface="Arial"/>
              <a:ea typeface="+mn-ea"/>
              <a:cs typeface="+mn-cs"/>
            </a:rPr>
            <a:t>Mitigation</a:t>
          </a:r>
        </a:p>
        <a:p>
          <a:pPr lvl="0" algn="ctr" defTabSz="711200">
            <a:lnSpc>
              <a:spcPct val="90000"/>
            </a:lnSpc>
            <a:spcBef>
              <a:spcPct val="0"/>
            </a:spcBef>
            <a:spcAft>
              <a:spcPct val="35000"/>
            </a:spcAft>
          </a:pPr>
          <a:r>
            <a:rPr lang="en-US" sz="1600" kern="1200" dirty="0" smtClean="0">
              <a:solidFill>
                <a:srgbClr val="000000">
                  <a:hueOff val="0"/>
                  <a:satOff val="0"/>
                  <a:lumOff val="0"/>
                  <a:alphaOff val="0"/>
                </a:srgbClr>
              </a:solidFill>
              <a:latin typeface="Arial"/>
              <a:ea typeface="+mn-ea"/>
              <a:cs typeface="+mn-cs"/>
            </a:rPr>
            <a:t>Plan and</a:t>
          </a:r>
        </a:p>
        <a:p>
          <a:pPr lvl="0" algn="ctr" defTabSz="711200">
            <a:lnSpc>
              <a:spcPct val="90000"/>
            </a:lnSpc>
            <a:spcBef>
              <a:spcPct val="0"/>
            </a:spcBef>
            <a:spcAft>
              <a:spcPct val="35000"/>
            </a:spcAft>
          </a:pPr>
          <a:r>
            <a:rPr lang="en-US" sz="1600" kern="1200" dirty="0" smtClean="0">
              <a:solidFill>
                <a:srgbClr val="000000">
                  <a:hueOff val="0"/>
                  <a:satOff val="0"/>
                  <a:lumOff val="0"/>
                  <a:alphaOff val="0"/>
                </a:srgbClr>
              </a:solidFill>
              <a:latin typeface="Arial"/>
              <a:ea typeface="+mn-ea"/>
              <a:cs typeface="+mn-cs"/>
            </a:rPr>
            <a:t>Action Plan</a:t>
          </a:r>
        </a:p>
        <a:p>
          <a:pPr lvl="0" algn="ctr" defTabSz="711200">
            <a:lnSpc>
              <a:spcPct val="90000"/>
            </a:lnSpc>
            <a:spcBef>
              <a:spcPct val="0"/>
            </a:spcBef>
            <a:spcAft>
              <a:spcPct val="35000"/>
            </a:spcAft>
          </a:pPr>
          <a:r>
            <a:rPr lang="en-US" sz="1600" kern="1200" dirty="0" smtClean="0">
              <a:solidFill>
                <a:schemeClr val="tx1"/>
              </a:solidFill>
              <a:latin typeface="Arial"/>
              <a:ea typeface="+mn-ea"/>
              <a:cs typeface="+mn-cs"/>
            </a:rPr>
            <a:t>CMRS-3</a:t>
          </a:r>
          <a:endParaRPr lang="en-US" sz="1600" kern="1200" dirty="0">
            <a:solidFill>
              <a:schemeClr val="tx1"/>
            </a:solidFill>
            <a:latin typeface="Arial"/>
            <a:ea typeface="+mn-ea"/>
            <a:cs typeface="+mn-cs"/>
          </a:endParaRPr>
        </a:p>
      </dsp:txBody>
      <dsp:txXfrm>
        <a:off x="1411418" y="73791"/>
        <a:ext cx="1156506" cy="1156506"/>
      </dsp:txXfrm>
    </dsp:sp>
    <dsp:sp modelId="{A794E433-BFEF-464D-9E12-10D8C84B41F5}">
      <dsp:nvSpPr>
        <dsp:cNvPr id="0" name=""/>
        <dsp:cNvSpPr/>
      </dsp:nvSpPr>
      <dsp:spPr>
        <a:xfrm>
          <a:off x="1338548" y="-32429"/>
          <a:ext cx="3266502" cy="3266502"/>
        </a:xfrm>
        <a:prstGeom prst="circularArrow">
          <a:avLst>
            <a:gd name="adj1" fmla="val 6906"/>
            <a:gd name="adj2" fmla="val 465695"/>
            <a:gd name="adj3" fmla="val 16747972"/>
            <a:gd name="adj4" fmla="val 15186333"/>
            <a:gd name="adj5" fmla="val 8057"/>
          </a:avLst>
        </a:prstGeom>
        <a:solidFill>
          <a:srgbClr val="333399"/>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65116-A9B2-49FC-9090-FCEB95A0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2014-11-26T18:03:00Z</dcterms:created>
  <dcterms:modified xsi:type="dcterms:W3CDTF">2014-11-26T18:03:00Z</dcterms:modified>
</cp:coreProperties>
</file>