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D05" w:rsidRPr="008F4DC6" w:rsidRDefault="002C1D05" w:rsidP="00D5532C">
      <w:pPr>
        <w:pStyle w:val="Heading2"/>
        <w:rPr>
          <w:lang w:val="en-AU"/>
        </w:rPr>
      </w:pPr>
      <w:bookmarkStart w:id="0" w:name="_GoBack"/>
      <w:bookmarkEnd w:id="0"/>
      <w:r w:rsidRPr="008F4DC6">
        <w:rPr>
          <w:lang w:val="en-AU"/>
        </w:rPr>
        <w:t>Outcomes</w:t>
      </w:r>
    </w:p>
    <w:p w:rsidR="002C1D05" w:rsidRPr="001214EA" w:rsidRDefault="002C1D05" w:rsidP="002C1D05">
      <w:pPr>
        <w:rPr>
          <w:lang w:val="en-AU"/>
        </w:rPr>
      </w:pPr>
      <w:r w:rsidRPr="001214EA">
        <w:rPr>
          <w:lang w:val="en-AU"/>
        </w:rPr>
        <w:t>The following outcomes are defined in support of the realisation of the 3-year vision.</w:t>
      </w:r>
    </w:p>
    <w:p w:rsidR="002C1D05" w:rsidRPr="001214EA" w:rsidRDefault="002C1D05" w:rsidP="002C1D05">
      <w:pPr>
        <w:pStyle w:val="Heading3"/>
        <w:numPr>
          <w:ilvl w:val="0"/>
          <w:numId w:val="0"/>
        </w:numPr>
        <w:ind w:left="27"/>
        <w:rPr>
          <w:lang w:val="en-AU"/>
        </w:rPr>
      </w:pPr>
      <w:r w:rsidRPr="001214EA">
        <w:rPr>
          <w:lang w:val="en-AU"/>
        </w:rPr>
        <w:t>Baseline Global Observation Scenario</w:t>
      </w:r>
    </w:p>
    <w:p w:rsidR="002C1D05" w:rsidRDefault="002C1D05" w:rsidP="002C1D05">
      <w:pPr>
        <w:pStyle w:val="ListParagraph"/>
        <w:numPr>
          <w:ilvl w:val="0"/>
          <w:numId w:val="3"/>
        </w:numPr>
        <w:ind w:left="385" w:hanging="357"/>
        <w:contextualSpacing w:val="0"/>
        <w:rPr>
          <w:lang w:val="en-AU"/>
        </w:rPr>
      </w:pPr>
      <w:r w:rsidRPr="001214EA">
        <w:rPr>
          <w:b/>
          <w:lang w:val="en-AU"/>
        </w:rPr>
        <w:t xml:space="preserve">Multiple annual global coverages </w:t>
      </w:r>
      <w:r>
        <w:rPr>
          <w:b/>
          <w:lang w:val="en-AU"/>
        </w:rPr>
        <w:t>from</w:t>
      </w:r>
      <w:r w:rsidRPr="001214EA">
        <w:rPr>
          <w:b/>
          <w:lang w:val="en-AU"/>
        </w:rPr>
        <w:t xml:space="preserve"> 201</w:t>
      </w:r>
      <w:r>
        <w:rPr>
          <w:b/>
          <w:lang w:val="en-AU"/>
        </w:rPr>
        <w:t>7</w:t>
      </w:r>
      <w:r w:rsidRPr="001214EA">
        <w:rPr>
          <w:b/>
          <w:lang w:val="en-AU"/>
        </w:rPr>
        <w:t xml:space="preserve"> of the world’s forested areas</w:t>
      </w:r>
      <w:r w:rsidRPr="001214EA">
        <w:rPr>
          <w:lang w:val="en-AU"/>
        </w:rPr>
        <w:t xml:space="preserve"> </w:t>
      </w:r>
      <w:r>
        <w:rPr>
          <w:b/>
          <w:color w:val="00B050"/>
          <w:lang w:val="en-AU"/>
        </w:rPr>
        <w:t>by</w:t>
      </w:r>
      <w:r w:rsidRPr="00EC393E">
        <w:rPr>
          <w:b/>
          <w:color w:val="00B050"/>
          <w:lang w:val="en-AU"/>
        </w:rPr>
        <w:t xml:space="preserve"> land surface imaging missions</w:t>
      </w:r>
      <w:r>
        <w:rPr>
          <w:lang w:val="en-AU"/>
        </w:rPr>
        <w:t xml:space="preserve"> - </w:t>
      </w:r>
      <w:r w:rsidRPr="001214EA">
        <w:rPr>
          <w:lang w:val="en-AU"/>
        </w:rPr>
        <w:t>with provision for coverage for the foreseeable future by inclusion of GFOI requirements in the basic observation scenarios of the core data streams.</w:t>
      </w:r>
    </w:p>
    <w:p w:rsidR="002C1D05" w:rsidRPr="00EC393E" w:rsidRDefault="002C1D05" w:rsidP="002C1D05">
      <w:pPr>
        <w:pStyle w:val="ListParagraph"/>
        <w:numPr>
          <w:ilvl w:val="0"/>
          <w:numId w:val="3"/>
        </w:numPr>
        <w:ind w:left="385" w:hanging="357"/>
        <w:contextualSpacing w:val="0"/>
        <w:rPr>
          <w:color w:val="00B050"/>
          <w:lang w:val="en-AU"/>
        </w:rPr>
      </w:pPr>
      <w:r>
        <w:rPr>
          <w:b/>
          <w:color w:val="00B050"/>
          <w:lang w:val="en-AU"/>
        </w:rPr>
        <w:t>F</w:t>
      </w:r>
      <w:r w:rsidRPr="00EC393E">
        <w:rPr>
          <w:b/>
          <w:color w:val="00B050"/>
          <w:lang w:val="en-AU"/>
        </w:rPr>
        <w:t>rom 2018</w:t>
      </w:r>
      <w:r>
        <w:rPr>
          <w:b/>
          <w:color w:val="00B050"/>
          <w:lang w:val="en-AU"/>
        </w:rPr>
        <w:t>,</w:t>
      </w:r>
      <w:r w:rsidRPr="00EC393E">
        <w:rPr>
          <w:b/>
          <w:color w:val="00B050"/>
          <w:lang w:val="en-AU"/>
        </w:rPr>
        <w:t xml:space="preserve"> inclusion of biomass measurements from space in the </w:t>
      </w:r>
      <w:r>
        <w:rPr>
          <w:b/>
          <w:color w:val="00B050"/>
          <w:lang w:val="en-AU"/>
        </w:rPr>
        <w:t>definition and maintenance of the baseline global a</w:t>
      </w:r>
      <w:r w:rsidRPr="00EC393E">
        <w:rPr>
          <w:b/>
          <w:color w:val="00B050"/>
          <w:lang w:val="en-AU"/>
        </w:rPr>
        <w:t>cquisition strategy</w:t>
      </w:r>
      <w:r>
        <w:rPr>
          <w:b/>
          <w:color w:val="00B050"/>
          <w:lang w:val="en-AU"/>
        </w:rPr>
        <w:t xml:space="preserve"> for GFOI</w:t>
      </w:r>
      <w:r w:rsidRPr="00EC393E">
        <w:rPr>
          <w:b/>
          <w:color w:val="00B050"/>
          <w:lang w:val="en-AU"/>
        </w:rPr>
        <w:t xml:space="preserve">. </w:t>
      </w:r>
      <w:r w:rsidRPr="00EC393E">
        <w:rPr>
          <w:color w:val="00B050"/>
          <w:lang w:val="en-AU"/>
        </w:rPr>
        <w:t xml:space="preserve">This will: </w:t>
      </w:r>
      <w:bookmarkStart w:id="1" w:name="OLE_LINK1"/>
      <w:r w:rsidRPr="00EC393E">
        <w:rPr>
          <w:color w:val="00B050"/>
          <w:lang w:val="en-AU"/>
        </w:rPr>
        <w:t xml:space="preserve">explain the anticipated </w:t>
      </w:r>
      <w:r>
        <w:rPr>
          <w:color w:val="00B050"/>
          <w:lang w:val="en-AU"/>
        </w:rPr>
        <w:t>supply</w:t>
      </w:r>
      <w:r w:rsidRPr="00EC393E">
        <w:rPr>
          <w:color w:val="00B050"/>
          <w:lang w:val="en-AU"/>
        </w:rPr>
        <w:t xml:space="preserve"> of </w:t>
      </w:r>
      <w:r>
        <w:rPr>
          <w:color w:val="00B050"/>
          <w:lang w:val="en-AU"/>
        </w:rPr>
        <w:t xml:space="preserve">relevant </w:t>
      </w:r>
      <w:r w:rsidRPr="00EC393E">
        <w:rPr>
          <w:color w:val="00B050"/>
          <w:lang w:val="en-AU"/>
        </w:rPr>
        <w:t xml:space="preserve">observations and their evolution over time; characterise the accuracy and policy-relevance of the observations so that user community expectations are well managed; provide a framework for coordination of improvements in accuracy and policy-relevance </w:t>
      </w:r>
      <w:r>
        <w:rPr>
          <w:color w:val="00B050"/>
          <w:lang w:val="en-AU"/>
        </w:rPr>
        <w:t xml:space="preserve">- </w:t>
      </w:r>
      <w:r w:rsidRPr="00EC393E">
        <w:rPr>
          <w:color w:val="00B050"/>
          <w:lang w:val="en-AU"/>
        </w:rPr>
        <w:t xml:space="preserve">driven by needs of the GFOI community; identify R&amp;D topics to be addressed in support of these goals and coordinate their execution. </w:t>
      </w:r>
      <w:r>
        <w:rPr>
          <w:color w:val="00B050"/>
          <w:lang w:val="en-AU"/>
        </w:rPr>
        <w:t xml:space="preserve">This work will be undertaken in close cooperation with the WGCV LPV Biomass protocol activity. </w:t>
      </w:r>
    </w:p>
    <w:bookmarkEnd w:id="1"/>
    <w:p w:rsidR="002C1D05" w:rsidRPr="001214EA" w:rsidRDefault="002C1D05" w:rsidP="002C1D05">
      <w:pPr>
        <w:pStyle w:val="ListParagraph"/>
        <w:numPr>
          <w:ilvl w:val="0"/>
          <w:numId w:val="3"/>
        </w:numPr>
        <w:ind w:left="385" w:hanging="357"/>
        <w:contextualSpacing w:val="0"/>
        <w:rPr>
          <w:lang w:val="en-AU"/>
        </w:rPr>
      </w:pPr>
      <w:r w:rsidRPr="001214EA">
        <w:rPr>
          <w:b/>
          <w:lang w:val="en-AU"/>
        </w:rPr>
        <w:t>Efficient and effective global flows of data</w:t>
      </w:r>
      <w:r w:rsidRPr="001214EA">
        <w:rPr>
          <w:lang w:val="en-AU"/>
        </w:rPr>
        <w:t xml:space="preserve"> to accommodate in-country development of GFOI recommended Forest Map products.</w:t>
      </w:r>
    </w:p>
    <w:p w:rsidR="002C1D05" w:rsidRPr="001214EA" w:rsidRDefault="002C1D05" w:rsidP="002C1D05">
      <w:pPr>
        <w:pStyle w:val="ListParagraph"/>
        <w:numPr>
          <w:ilvl w:val="0"/>
          <w:numId w:val="3"/>
        </w:numPr>
        <w:ind w:left="385" w:hanging="357"/>
        <w:contextualSpacing w:val="0"/>
        <w:rPr>
          <w:lang w:val="en-AU"/>
        </w:rPr>
      </w:pPr>
      <w:r w:rsidRPr="001214EA">
        <w:rPr>
          <w:b/>
          <w:lang w:val="en-AU"/>
        </w:rPr>
        <w:t>Commitment of core data stream providers to include GFOI requirements in the definition of consistent information products</w:t>
      </w:r>
      <w:r>
        <w:rPr>
          <w:lang w:val="en-AU"/>
        </w:rPr>
        <w:t xml:space="preserve"> including ‘Analysis Ready’ products.</w:t>
      </w:r>
    </w:p>
    <w:p w:rsidR="002C1D05" w:rsidRPr="001214EA" w:rsidRDefault="002C1D05" w:rsidP="002C1D05">
      <w:pPr>
        <w:pStyle w:val="Heading3"/>
        <w:numPr>
          <w:ilvl w:val="0"/>
          <w:numId w:val="0"/>
        </w:numPr>
        <w:ind w:left="27"/>
        <w:rPr>
          <w:lang w:val="en-AU"/>
        </w:rPr>
      </w:pPr>
      <w:r w:rsidRPr="001214EA">
        <w:rPr>
          <w:lang w:val="en-AU"/>
        </w:rPr>
        <w:t>GFOI Space Data Services</w:t>
      </w:r>
    </w:p>
    <w:p w:rsidR="002C1D05" w:rsidRDefault="002C1D05" w:rsidP="002C1D05">
      <w:pPr>
        <w:pStyle w:val="ListParagraph"/>
        <w:numPr>
          <w:ilvl w:val="0"/>
          <w:numId w:val="5"/>
        </w:numPr>
        <w:contextualSpacing w:val="0"/>
        <w:rPr>
          <w:lang w:val="en-AU"/>
        </w:rPr>
      </w:pPr>
      <w:r w:rsidRPr="001214EA">
        <w:rPr>
          <w:b/>
          <w:lang w:val="en-AU"/>
        </w:rPr>
        <w:t>Ensured on-going coverage</w:t>
      </w:r>
      <w:r w:rsidRPr="001214EA">
        <w:rPr>
          <w:lang w:val="en-AU"/>
        </w:rPr>
        <w:t xml:space="preserve"> customised for all of the priority countries, and the development of semi-automated tools for the generation of national core data stream archive characterisation, as required.</w:t>
      </w:r>
    </w:p>
    <w:p w:rsidR="002C1D05" w:rsidRPr="004B2669" w:rsidRDefault="002C1D05" w:rsidP="002C1D05">
      <w:pPr>
        <w:pStyle w:val="ListParagraph"/>
        <w:numPr>
          <w:ilvl w:val="0"/>
          <w:numId w:val="5"/>
        </w:numPr>
        <w:contextualSpacing w:val="0"/>
        <w:rPr>
          <w:lang w:val="en-AU"/>
        </w:rPr>
      </w:pPr>
      <w:r>
        <w:rPr>
          <w:b/>
          <w:bCs/>
          <w:lang w:val="en-AU"/>
        </w:rPr>
        <w:t>Progress</w:t>
      </w:r>
      <w:r w:rsidRPr="00EC393E">
        <w:rPr>
          <w:b/>
          <w:bCs/>
          <w:lang w:val="en-AU"/>
        </w:rPr>
        <w:t xml:space="preserve"> pilots investigating fundamental issues around the provision of cloud </w:t>
      </w:r>
      <w:proofErr w:type="gramStart"/>
      <w:r w:rsidRPr="00EC393E">
        <w:rPr>
          <w:b/>
          <w:bCs/>
          <w:lang w:val="en-AU"/>
        </w:rPr>
        <w:t>computing</w:t>
      </w:r>
      <w:r w:rsidRPr="004B2669">
        <w:rPr>
          <w:bCs/>
          <w:lang w:val="en-AU"/>
        </w:rPr>
        <w:t xml:space="preserve"> based</w:t>
      </w:r>
      <w:proofErr w:type="gramEnd"/>
      <w:r w:rsidRPr="004B2669">
        <w:rPr>
          <w:bCs/>
          <w:lang w:val="en-AU"/>
        </w:rPr>
        <w:t xml:space="preserve"> storage, processing and presentation of GFOI products as the basis for national MRV consistent with the Methods and Guidance. </w:t>
      </w:r>
    </w:p>
    <w:p w:rsidR="002C1D05" w:rsidRPr="00EC393E" w:rsidRDefault="002C1D05" w:rsidP="002C1D05">
      <w:pPr>
        <w:pStyle w:val="ListParagraph"/>
        <w:numPr>
          <w:ilvl w:val="0"/>
          <w:numId w:val="5"/>
        </w:numPr>
        <w:contextualSpacing w:val="0"/>
        <w:rPr>
          <w:color w:val="00B050"/>
          <w:lang w:val="en-AU"/>
        </w:rPr>
      </w:pPr>
      <w:r w:rsidRPr="00EC393E">
        <w:rPr>
          <w:b/>
          <w:bCs/>
          <w:color w:val="00B050"/>
          <w:lang w:val="en-AU"/>
        </w:rPr>
        <w:t xml:space="preserve">Support GFOI countries engaged in CEOS pilots for technical exchange of information on use of MGD-compliant Data Cubes, algorithms etc – </w:t>
      </w:r>
      <w:r w:rsidRPr="00EC393E">
        <w:rPr>
          <w:bCs/>
          <w:color w:val="00B050"/>
          <w:lang w:val="en-AU"/>
        </w:rPr>
        <w:t xml:space="preserve">including Colombia, Switzerland, Vietnam, Honduras/Taiwan and others. </w:t>
      </w:r>
    </w:p>
    <w:p w:rsidR="002C1D05" w:rsidRPr="00EC393E" w:rsidRDefault="002C1D05" w:rsidP="002C1D05">
      <w:pPr>
        <w:pStyle w:val="ListParagraph"/>
        <w:numPr>
          <w:ilvl w:val="0"/>
          <w:numId w:val="5"/>
        </w:numPr>
        <w:contextualSpacing w:val="0"/>
        <w:rPr>
          <w:color w:val="00B050"/>
          <w:lang w:val="en-AU"/>
        </w:rPr>
      </w:pPr>
      <w:r w:rsidRPr="00EC393E">
        <w:rPr>
          <w:b/>
          <w:bCs/>
          <w:color w:val="00B050"/>
          <w:lang w:val="en-AU"/>
        </w:rPr>
        <w:t xml:space="preserve">Establish and grow a community of GFOI countries to provide feedback on the utility for the forest monitoring community of CEOS Analysis Ready Data </w:t>
      </w:r>
      <w:r w:rsidRPr="00EC393E">
        <w:rPr>
          <w:bCs/>
          <w:color w:val="00B050"/>
          <w:lang w:val="en-AU"/>
        </w:rPr>
        <w:t>and advocate for the necessary adaptation and supply of data to meet GFOI needs. Establish a programme of application pilots and feedback with volunteer countries and reporting bodies.</w:t>
      </w:r>
      <w:r>
        <w:rPr>
          <w:bCs/>
          <w:color w:val="00B050"/>
          <w:lang w:val="en-AU"/>
        </w:rPr>
        <w:t xml:space="preserve"> Coordination as required with the CEOS LSI Virtual Constellation on ARD matters.</w:t>
      </w:r>
    </w:p>
    <w:p w:rsidR="002C1D05" w:rsidRPr="00EC393E" w:rsidRDefault="002C1D05" w:rsidP="002C1D05">
      <w:pPr>
        <w:pStyle w:val="ListParagraph"/>
        <w:numPr>
          <w:ilvl w:val="0"/>
          <w:numId w:val="5"/>
        </w:numPr>
        <w:contextualSpacing w:val="0"/>
        <w:rPr>
          <w:color w:val="00B050"/>
          <w:lang w:val="en-AU"/>
        </w:rPr>
      </w:pPr>
      <w:r w:rsidRPr="00EC393E">
        <w:rPr>
          <w:b/>
          <w:bCs/>
          <w:color w:val="00B050"/>
          <w:lang w:val="en-AU"/>
        </w:rPr>
        <w:t>Support engagement of interested third party data providers around evaluation and adoption of the CARD4L and its suitability for country reporting processes.</w:t>
      </w:r>
      <w:r>
        <w:rPr>
          <w:b/>
          <w:bCs/>
          <w:color w:val="00B050"/>
          <w:lang w:val="en-AU"/>
        </w:rPr>
        <w:t xml:space="preserve"> </w:t>
      </w:r>
      <w:r w:rsidRPr="00EC393E">
        <w:rPr>
          <w:bCs/>
          <w:color w:val="00B050"/>
          <w:lang w:val="en-AU"/>
        </w:rPr>
        <w:t>Provision of criteria to aid CARD4L compliance.</w:t>
      </w:r>
    </w:p>
    <w:p w:rsidR="002C1D05" w:rsidRPr="00EC393E" w:rsidRDefault="002C1D05" w:rsidP="002C1D05">
      <w:pPr>
        <w:pStyle w:val="ListParagraph"/>
        <w:numPr>
          <w:ilvl w:val="0"/>
          <w:numId w:val="5"/>
        </w:numPr>
        <w:contextualSpacing w:val="0"/>
        <w:rPr>
          <w:color w:val="00B050"/>
          <w:lang w:val="en-AU"/>
        </w:rPr>
      </w:pPr>
      <w:r w:rsidRPr="00EC393E">
        <w:rPr>
          <w:b/>
          <w:bCs/>
          <w:color w:val="00B050"/>
          <w:lang w:val="en-AU"/>
        </w:rPr>
        <w:t xml:space="preserve">Further develop IFI links for CEOS through exploration of shared interests with the new GFOI Lead from World Bank. </w:t>
      </w:r>
      <w:r w:rsidRPr="00EC393E">
        <w:rPr>
          <w:b/>
          <w:color w:val="00B050"/>
          <w:lang w:val="en-AU"/>
        </w:rPr>
        <w:t>GFOI Space Data Services will be defined and delivered</w:t>
      </w:r>
      <w:r w:rsidRPr="00EC393E">
        <w:rPr>
          <w:color w:val="00B050"/>
          <w:lang w:val="en-AU"/>
        </w:rPr>
        <w:t xml:space="preserve"> in collaboration with The World Bank, FAO and other Leads, and prioritised based on the needs identified through GFOI consultation via the Data Component meetings and processes.</w:t>
      </w:r>
    </w:p>
    <w:p w:rsidR="002C1D05" w:rsidRPr="00EC393E" w:rsidRDefault="002C1D05" w:rsidP="002C1D05">
      <w:pPr>
        <w:pStyle w:val="ListParagraph"/>
        <w:numPr>
          <w:ilvl w:val="0"/>
          <w:numId w:val="5"/>
        </w:numPr>
        <w:contextualSpacing w:val="0"/>
        <w:rPr>
          <w:bCs/>
          <w:color w:val="00B050"/>
          <w:lang w:val="en-AU"/>
        </w:rPr>
      </w:pPr>
      <w:r w:rsidRPr="001214EA">
        <w:rPr>
          <w:b/>
          <w:bCs/>
          <w:lang w:val="en-AU"/>
        </w:rPr>
        <w:lastRenderedPageBreak/>
        <w:t xml:space="preserve">Integration </w:t>
      </w:r>
      <w:r>
        <w:rPr>
          <w:b/>
          <w:bCs/>
          <w:lang w:val="en-AU"/>
        </w:rPr>
        <w:t xml:space="preserve">and promotion </w:t>
      </w:r>
      <w:r w:rsidRPr="001214EA">
        <w:rPr>
          <w:b/>
          <w:bCs/>
          <w:lang w:val="en-AU"/>
        </w:rPr>
        <w:t>of space data within the GFOI Methods and Guidance</w:t>
      </w:r>
      <w:r w:rsidRPr="001214EA">
        <w:rPr>
          <w:bCs/>
          <w:lang w:val="en-AU"/>
        </w:rPr>
        <w:t>, including agreement on the derivation of GFOI standard products using space data.</w:t>
      </w:r>
      <w:r>
        <w:rPr>
          <w:bCs/>
          <w:lang w:val="en-AU"/>
        </w:rPr>
        <w:t xml:space="preserve"> </w:t>
      </w:r>
      <w:r w:rsidRPr="00EC393E">
        <w:rPr>
          <w:bCs/>
          <w:color w:val="00B050"/>
          <w:lang w:val="en-AU"/>
        </w:rPr>
        <w:t>This should take account of the broader CEOS strategy with the IPCC TFI guidelines etc.</w:t>
      </w:r>
    </w:p>
    <w:p w:rsidR="002C1D05" w:rsidRPr="00EC393E" w:rsidRDefault="002C1D05" w:rsidP="002C1D05">
      <w:pPr>
        <w:pStyle w:val="ListParagraph"/>
        <w:numPr>
          <w:ilvl w:val="0"/>
          <w:numId w:val="5"/>
        </w:numPr>
        <w:contextualSpacing w:val="0"/>
        <w:rPr>
          <w:bCs/>
        </w:rPr>
      </w:pPr>
      <w:r w:rsidRPr="00AC3B48">
        <w:rPr>
          <w:b/>
          <w:bCs/>
          <w:lang w:val="en-AU"/>
        </w:rPr>
        <w:t xml:space="preserve">Satellite data discovery, access and application tools for all core data streams </w:t>
      </w:r>
      <w:r w:rsidRPr="00AC3B48">
        <w:rPr>
          <w:bCs/>
          <w:cs/>
          <w:lang w:val="en-AU" w:bidi="mr-IN"/>
        </w:rPr>
        <w:t>–</w:t>
      </w:r>
      <w:r w:rsidRPr="00AC3B48">
        <w:rPr>
          <w:bCs/>
          <w:lang w:val="en-AU"/>
        </w:rPr>
        <w:t xml:space="preserve"> as prioritised by the country needs assessment process within GFOI which CEOS should be an integral part of.</w:t>
      </w:r>
      <w:r>
        <w:rPr>
          <w:bCs/>
          <w:lang w:val="en-AU"/>
        </w:rPr>
        <w:t xml:space="preserve"> An update to the existing Space Data Services compendium will be initiated as a first measure in 2018. </w:t>
      </w:r>
      <w:r w:rsidRPr="00EC393E">
        <w:rPr>
          <w:bCs/>
          <w:color w:val="00B050"/>
          <w:lang w:val="en-AU"/>
        </w:rPr>
        <w:t xml:space="preserve">CEOS agencies are engaged in a range of national activities for the provision of tools and services in support of their forest monitoring stakeholders and better connection with and integration of these efforts within SDCG activities will be sought. </w:t>
      </w:r>
    </w:p>
    <w:p w:rsidR="002C1D05" w:rsidRPr="00EC393E" w:rsidRDefault="002C1D05" w:rsidP="002C1D05">
      <w:pPr>
        <w:pStyle w:val="ListParagraph"/>
        <w:numPr>
          <w:ilvl w:val="0"/>
          <w:numId w:val="5"/>
        </w:numPr>
        <w:contextualSpacing w:val="0"/>
        <w:rPr>
          <w:bCs/>
          <w:color w:val="00B050"/>
          <w:lang w:val="en-AU"/>
        </w:rPr>
      </w:pPr>
      <w:r w:rsidRPr="00EC393E">
        <w:rPr>
          <w:b/>
          <w:bCs/>
          <w:color w:val="00B050"/>
          <w:lang w:val="en-AU"/>
        </w:rPr>
        <w:t>Contribute to the definition and development of a GFOI Early Warning module for deforestation alert applications and guide the role of space data therein.</w:t>
      </w:r>
    </w:p>
    <w:p w:rsidR="002C1D05" w:rsidRPr="001214EA" w:rsidRDefault="002C1D05" w:rsidP="002C1D05">
      <w:pPr>
        <w:pStyle w:val="Heading3"/>
        <w:numPr>
          <w:ilvl w:val="0"/>
          <w:numId w:val="0"/>
        </w:numPr>
        <w:ind w:left="27"/>
        <w:rPr>
          <w:lang w:val="en-AU"/>
        </w:rPr>
      </w:pPr>
      <w:r>
        <w:rPr>
          <w:lang w:val="en-AU"/>
        </w:rPr>
        <w:t xml:space="preserve">Space Data Support to GFOI </w:t>
      </w:r>
      <w:r w:rsidRPr="001214EA">
        <w:rPr>
          <w:lang w:val="en-AU"/>
        </w:rPr>
        <w:t>Research &amp; Development</w:t>
      </w:r>
    </w:p>
    <w:p w:rsidR="002C1D05" w:rsidRPr="001214EA" w:rsidRDefault="002C1D05" w:rsidP="002C1D05">
      <w:pPr>
        <w:pStyle w:val="ListParagraph"/>
        <w:numPr>
          <w:ilvl w:val="0"/>
          <w:numId w:val="4"/>
        </w:numPr>
        <w:contextualSpacing w:val="0"/>
        <w:rPr>
          <w:bCs/>
          <w:lang w:val="en-AU"/>
        </w:rPr>
      </w:pPr>
      <w:r>
        <w:rPr>
          <w:b/>
          <w:bCs/>
          <w:lang w:val="en-AU"/>
        </w:rPr>
        <w:t>Implementation</w:t>
      </w:r>
      <w:r w:rsidRPr="001214EA">
        <w:rPr>
          <w:b/>
          <w:bCs/>
          <w:lang w:val="en-AU"/>
        </w:rPr>
        <w:t xml:space="preserve"> of the Element-3 strategy document</w:t>
      </w:r>
      <w:r w:rsidRPr="001214EA">
        <w:rPr>
          <w:bCs/>
          <w:lang w:val="en-AU"/>
        </w:rPr>
        <w:t xml:space="preserve"> </w:t>
      </w:r>
      <w:r>
        <w:rPr>
          <w:bCs/>
          <w:lang w:val="en-AU"/>
        </w:rPr>
        <w:t>endorsed at</w:t>
      </w:r>
      <w:r w:rsidRPr="001214EA">
        <w:rPr>
          <w:bCs/>
          <w:lang w:val="en-AU"/>
        </w:rPr>
        <w:t xml:space="preserve"> SIT-30</w:t>
      </w:r>
      <w:r>
        <w:rPr>
          <w:bCs/>
          <w:lang w:val="en-AU"/>
        </w:rPr>
        <w:t xml:space="preserve"> and SIT-31. </w:t>
      </w:r>
    </w:p>
    <w:p w:rsidR="002C1D05" w:rsidRPr="00EC393E" w:rsidRDefault="002C1D05" w:rsidP="002C1D05">
      <w:pPr>
        <w:pStyle w:val="ListParagraph"/>
        <w:numPr>
          <w:ilvl w:val="0"/>
          <w:numId w:val="4"/>
        </w:numPr>
        <w:ind w:left="385" w:hanging="357"/>
        <w:contextualSpacing w:val="0"/>
        <w:rPr>
          <w:bCs/>
          <w:color w:val="00B050"/>
          <w:lang w:val="en-AU"/>
        </w:rPr>
      </w:pPr>
      <w:r w:rsidRPr="00EC393E">
        <w:rPr>
          <w:b/>
          <w:bCs/>
          <w:color w:val="00B050"/>
          <w:lang w:val="en-AU"/>
        </w:rPr>
        <w:t>Cooperation with the GFOI R&amp;D Component to evolve the GFOI R&amp;D programme to a Phase 2,</w:t>
      </w:r>
      <w:r w:rsidRPr="00EC393E">
        <w:rPr>
          <w:bCs/>
          <w:color w:val="00B050"/>
          <w:lang w:val="en-AU"/>
        </w:rPr>
        <w:t xml:space="preserve"> with a more focused and specific set of R&amp;D targets, </w:t>
      </w:r>
      <w:r>
        <w:rPr>
          <w:bCs/>
          <w:color w:val="00B050"/>
          <w:lang w:val="en-AU"/>
        </w:rPr>
        <w:t>directly</w:t>
      </w:r>
      <w:r w:rsidRPr="00EC393E">
        <w:rPr>
          <w:bCs/>
          <w:color w:val="00B050"/>
          <w:lang w:val="en-AU"/>
        </w:rPr>
        <w:t xml:space="preserve"> related to the needs of the main donors in order to attract the necessary funding. </w:t>
      </w:r>
    </w:p>
    <w:p w:rsidR="002C1D05" w:rsidRDefault="002C1D05" w:rsidP="002C1D05">
      <w:pPr>
        <w:pStyle w:val="ListParagraph"/>
        <w:numPr>
          <w:ilvl w:val="0"/>
          <w:numId w:val="4"/>
        </w:numPr>
        <w:ind w:left="385" w:hanging="357"/>
        <w:contextualSpacing w:val="0"/>
        <w:rPr>
          <w:bCs/>
          <w:lang w:val="en-AU"/>
        </w:rPr>
      </w:pPr>
      <w:r w:rsidRPr="001214EA">
        <w:rPr>
          <w:b/>
          <w:bCs/>
          <w:lang w:val="en-AU"/>
        </w:rPr>
        <w:t xml:space="preserve">Providing the satellite data required to progress the GFOI priority R&amp;D topics outlined in the </w:t>
      </w:r>
      <w:r>
        <w:rPr>
          <w:b/>
          <w:bCs/>
          <w:lang w:val="en-AU"/>
        </w:rPr>
        <w:t xml:space="preserve">new </w:t>
      </w:r>
      <w:r w:rsidRPr="001214EA">
        <w:rPr>
          <w:b/>
          <w:bCs/>
          <w:lang w:val="en-AU"/>
        </w:rPr>
        <w:t>GFOI R&amp;D plan</w:t>
      </w:r>
      <w:r w:rsidRPr="001214EA">
        <w:rPr>
          <w:bCs/>
          <w:lang w:val="en-AU"/>
        </w:rPr>
        <w:t xml:space="preserve">, in coordination with the R&amp;D </w:t>
      </w:r>
      <w:r>
        <w:rPr>
          <w:bCs/>
          <w:lang w:val="en-AU"/>
        </w:rPr>
        <w:t xml:space="preserve">Coordination </w:t>
      </w:r>
      <w:r w:rsidRPr="001214EA">
        <w:rPr>
          <w:bCs/>
          <w:lang w:val="en-AU"/>
        </w:rPr>
        <w:t>component, and in support of improvements to the Methods and Guidance.</w:t>
      </w:r>
    </w:p>
    <w:p w:rsidR="002C1D05" w:rsidRPr="00280063" w:rsidRDefault="002C1D05" w:rsidP="002C1D05">
      <w:pPr>
        <w:pStyle w:val="ListParagraph"/>
        <w:numPr>
          <w:ilvl w:val="0"/>
          <w:numId w:val="4"/>
        </w:numPr>
        <w:contextualSpacing w:val="0"/>
        <w:rPr>
          <w:bCs/>
          <w:color w:val="000000" w:themeColor="text1"/>
          <w:lang w:val="en-AU"/>
        </w:rPr>
      </w:pPr>
      <w:r>
        <w:rPr>
          <w:b/>
          <w:color w:val="000000" w:themeColor="text1"/>
          <w:lang w:val="en-AU"/>
        </w:rPr>
        <w:t>Maintain engagement with</w:t>
      </w:r>
      <w:r w:rsidRPr="00280063">
        <w:rPr>
          <w:b/>
          <w:color w:val="000000" w:themeColor="text1"/>
          <w:lang w:val="en-AU"/>
        </w:rPr>
        <w:t xml:space="preserve"> public, hybrid, commercial data provider</w:t>
      </w:r>
      <w:r>
        <w:rPr>
          <w:b/>
          <w:color w:val="000000" w:themeColor="text1"/>
          <w:lang w:val="en-AU"/>
        </w:rPr>
        <w:t>s and NGO brokers</w:t>
      </w:r>
      <w:r w:rsidRPr="00280063">
        <w:rPr>
          <w:b/>
          <w:color w:val="000000" w:themeColor="text1"/>
          <w:lang w:val="en-AU"/>
        </w:rPr>
        <w:t xml:space="preserve">, </w:t>
      </w:r>
      <w:r w:rsidRPr="00280063">
        <w:rPr>
          <w:color w:val="000000" w:themeColor="text1"/>
          <w:lang w:val="en-AU"/>
        </w:rPr>
        <w:t xml:space="preserve">through a management and accountability framework implemented in conjunction with an SDCG mechanism for brokering space data requests in support of GFOI R&amp;D activities. </w:t>
      </w:r>
    </w:p>
    <w:p w:rsidR="002C1D05" w:rsidRPr="001214EA" w:rsidRDefault="002C1D05" w:rsidP="002C1D05">
      <w:pPr>
        <w:pStyle w:val="Heading3"/>
        <w:numPr>
          <w:ilvl w:val="0"/>
          <w:numId w:val="0"/>
        </w:numPr>
        <w:ind w:left="27"/>
        <w:rPr>
          <w:lang w:val="en-AU"/>
        </w:rPr>
      </w:pPr>
      <w:r w:rsidRPr="001214EA">
        <w:rPr>
          <w:lang w:val="en-AU"/>
        </w:rPr>
        <w:t>GFOI Component Coordination and Country Engagement</w:t>
      </w:r>
    </w:p>
    <w:p w:rsidR="002C1D05" w:rsidRPr="00EC393E" w:rsidRDefault="002C1D05" w:rsidP="002C1D05">
      <w:pPr>
        <w:pStyle w:val="ListParagraph"/>
        <w:numPr>
          <w:ilvl w:val="0"/>
          <w:numId w:val="6"/>
        </w:numPr>
        <w:contextualSpacing w:val="0"/>
        <w:rPr>
          <w:color w:val="00B050"/>
          <w:lang w:val="en-AU"/>
        </w:rPr>
      </w:pPr>
      <w:r w:rsidRPr="00EC393E">
        <w:rPr>
          <w:b/>
          <w:color w:val="00B050"/>
          <w:lang w:val="en-AU"/>
        </w:rPr>
        <w:t>Annual engagement of GFOI countries through the Data Component meetings at GFOI Annual Plenary events, and participation in the Country Needs Assessment processes of GFOI</w:t>
      </w:r>
      <w:r w:rsidRPr="00EC393E">
        <w:rPr>
          <w:color w:val="00B050"/>
          <w:lang w:val="en-AU"/>
        </w:rPr>
        <w:t xml:space="preserve"> for identification of the priority needs of countries for data, tools and services in support of their national reporting needs. </w:t>
      </w:r>
      <w:r>
        <w:rPr>
          <w:color w:val="00B050"/>
          <w:lang w:val="en-AU"/>
        </w:rPr>
        <w:t xml:space="preserve">Coordination with other components and GFOI Office as needed in support of this outcome. </w:t>
      </w:r>
    </w:p>
    <w:p w:rsidR="002C1D05" w:rsidRPr="001214EA" w:rsidRDefault="002C1D05" w:rsidP="002C1D05">
      <w:pPr>
        <w:pStyle w:val="ListParagraph"/>
        <w:numPr>
          <w:ilvl w:val="0"/>
          <w:numId w:val="6"/>
        </w:numPr>
        <w:contextualSpacing w:val="0"/>
        <w:rPr>
          <w:lang w:val="en-AU"/>
        </w:rPr>
      </w:pPr>
      <w:r w:rsidRPr="001214EA">
        <w:rPr>
          <w:b/>
          <w:lang w:val="en-AU"/>
        </w:rPr>
        <w:t>Space data support and services provided to all priority countries</w:t>
      </w:r>
      <w:r w:rsidRPr="001214EA">
        <w:rPr>
          <w:lang w:val="en-AU"/>
        </w:rPr>
        <w:t xml:space="preserve"> including coordination and integration with the Methods and Guidance and the GFOI Office.</w:t>
      </w:r>
    </w:p>
    <w:p w:rsidR="002C1D05" w:rsidRPr="001214EA" w:rsidRDefault="002C1D05" w:rsidP="002C1D05">
      <w:pPr>
        <w:rPr>
          <w:b/>
          <w:lang w:val="en-AU"/>
        </w:rPr>
      </w:pPr>
    </w:p>
    <w:p w:rsidR="002C1D05" w:rsidRPr="001214EA" w:rsidRDefault="002C1D05" w:rsidP="002C1D05">
      <w:pPr>
        <w:rPr>
          <w:b/>
          <w:lang w:val="en-AU"/>
        </w:rPr>
      </w:pPr>
    </w:p>
    <w:p w:rsidR="002C1D05" w:rsidRPr="001214EA" w:rsidRDefault="002C1D05" w:rsidP="002C1D05">
      <w:pPr>
        <w:rPr>
          <w:b/>
          <w:lang w:val="en-AU"/>
        </w:rPr>
        <w:sectPr w:rsidR="002C1D05" w:rsidRPr="001214EA" w:rsidSect="00D85EA0">
          <w:footerReference w:type="default" r:id="rId5"/>
          <w:pgSz w:w="11900" w:h="16840"/>
          <w:pgMar w:top="1135" w:right="1552" w:bottom="1440" w:left="1276" w:header="720" w:footer="720" w:gutter="0"/>
          <w:cols w:space="720"/>
          <w:titlePg/>
          <w:docGrid w:linePitch="299"/>
        </w:sectPr>
      </w:pPr>
    </w:p>
    <w:p w:rsidR="002A7BA1" w:rsidRDefault="00D5532C"/>
    <w:sectPr w:rsidR="002A7BA1" w:rsidSect="002762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2410"/>
      <w:gridCol w:w="5103"/>
      <w:gridCol w:w="1843"/>
    </w:tblGrid>
    <w:tr w:rsidR="0048103A" w:rsidTr="00E612A9">
      <w:tc>
        <w:tcPr>
          <w:tcW w:w="2410" w:type="dxa"/>
          <w:vAlign w:val="bottom"/>
        </w:tcPr>
        <w:p w:rsidR="0048103A" w:rsidRPr="00EC366A" w:rsidRDefault="00D5532C" w:rsidP="00E612A9">
          <w:pPr>
            <w:pStyle w:val="FooterLeft"/>
            <w:rPr>
              <w:rFonts w:ascii="Book Antiqua" w:eastAsia="MS Mincho" w:hAnsi="Book Antiqua"/>
              <w:lang w:eastAsia="ja-JP"/>
            </w:rPr>
          </w:pPr>
          <w:r w:rsidRPr="00A367A1">
            <w:rPr>
              <w:rFonts w:ascii="Book Antiqua" w:eastAsia="MS Mincho" w:hAnsi="Book Antiqua"/>
              <w:noProof/>
              <w:lang w:eastAsia="en-GB"/>
            </w:rPr>
            <w:drawing>
              <wp:inline distT="0" distB="0" distL="0" distR="0" wp14:anchorId="700F79CE" wp14:editId="1CC0CBF3">
                <wp:extent cx="699322" cy="372246"/>
                <wp:effectExtent l="0" t="0" r="12065" b="8890"/>
                <wp:docPr id="3" name="Picture 3" descr="../../../CEOS-SIT-ESA/SIT-31/Agenda/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S-SIT-ESA/SIT-31/Agenda/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916" cy="372562"/>
                        </a:xfrm>
                        <a:prstGeom prst="rect">
                          <a:avLst/>
                        </a:prstGeom>
                        <a:noFill/>
                        <a:ln>
                          <a:noFill/>
                        </a:ln>
                      </pic:spPr>
                    </pic:pic>
                  </a:graphicData>
                </a:graphic>
              </wp:inline>
            </w:drawing>
          </w:r>
        </w:p>
      </w:tc>
      <w:tc>
        <w:tcPr>
          <w:tcW w:w="5103" w:type="dxa"/>
          <w:vAlign w:val="bottom"/>
        </w:tcPr>
        <w:p w:rsidR="0048103A" w:rsidRPr="00EC366A" w:rsidRDefault="00D5532C" w:rsidP="00E612A9">
          <w:pPr>
            <w:pStyle w:val="Footer"/>
            <w:rPr>
              <w:rFonts w:ascii="Book Antiqua" w:eastAsia="MS Mincho" w:hAnsi="Book Antiqua"/>
              <w:sz w:val="22"/>
            </w:rPr>
          </w:pPr>
        </w:p>
      </w:tc>
      <w:tc>
        <w:tcPr>
          <w:tcW w:w="1843" w:type="dxa"/>
          <w:vAlign w:val="bottom"/>
        </w:tcPr>
        <w:p w:rsidR="0048103A" w:rsidRPr="00EC366A" w:rsidRDefault="00D5532C" w:rsidP="00E612A9">
          <w:pPr>
            <w:pStyle w:val="FooterRight"/>
            <w:tabs>
              <w:tab w:val="clear" w:pos="2534"/>
              <w:tab w:val="right" w:pos="1310"/>
              <w:tab w:val="right" w:pos="1735"/>
            </w:tabs>
            <w:jc w:val="center"/>
            <w:rPr>
              <w:rStyle w:val="EndFooterSection"/>
              <w:szCs w:val="24"/>
            </w:rPr>
          </w:pPr>
          <w:r w:rsidRPr="00EC366A">
            <w:rPr>
              <w:rStyle w:val="EndFooterSection"/>
              <w:rFonts w:eastAsia="MS Mincho"/>
            </w:rPr>
            <w:t>Page</w:t>
          </w:r>
          <w:r w:rsidRPr="00EC366A">
            <w:rPr>
              <w:rStyle w:val="EndFooterSection"/>
              <w:rFonts w:eastAsia="MS Mincho"/>
            </w:rPr>
            <w:tab/>
          </w:r>
          <w:r w:rsidRPr="00EC366A">
            <w:rPr>
              <w:rStyle w:val="EndFooterSection"/>
              <w:rFonts w:eastAsia="MS Mincho"/>
            </w:rPr>
            <w:fldChar w:fldCharType="begin"/>
          </w:r>
          <w:r w:rsidRPr="00EC366A">
            <w:rPr>
              <w:rStyle w:val="EndFooterSection"/>
              <w:rFonts w:eastAsia="MS Mincho"/>
            </w:rPr>
            <w:instrText xml:space="preserve"> PAGE </w:instrText>
          </w:r>
          <w:r w:rsidRPr="00EC366A">
            <w:rPr>
              <w:rStyle w:val="EndFooterSection"/>
              <w:rFonts w:eastAsia="MS Mincho"/>
            </w:rPr>
            <w:fldChar w:fldCharType="separate"/>
          </w:r>
          <w:r>
            <w:rPr>
              <w:rStyle w:val="EndFooterSection"/>
              <w:rFonts w:eastAsia="MS Mincho"/>
              <w:noProof/>
            </w:rPr>
            <w:t>6</w:t>
          </w:r>
          <w:r w:rsidRPr="00EC366A">
            <w:rPr>
              <w:rStyle w:val="EndFooterSection"/>
              <w:rFonts w:eastAsia="MS Mincho"/>
            </w:rPr>
            <w:fldChar w:fldCharType="end"/>
          </w:r>
        </w:p>
      </w:tc>
    </w:tr>
  </w:tbl>
  <w:p w:rsidR="0048103A" w:rsidRPr="00C77FD5" w:rsidRDefault="00D5532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3910"/>
    <w:multiLevelType w:val="multilevel"/>
    <w:tmpl w:val="0E66C97C"/>
    <w:lvl w:ilvl="0">
      <w:start w:val="1"/>
      <w:numFmt w:val="decimal"/>
      <w:lvlText w:val="%1"/>
      <w:lvlJc w:val="left"/>
      <w:pPr>
        <w:tabs>
          <w:tab w:val="num" w:pos="1481"/>
        </w:tabs>
        <w:ind w:left="1481" w:hanging="5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2021" w:hanging="1080"/>
      </w:pPr>
      <w:rPr>
        <w:rFonts w:hint="default"/>
      </w:rPr>
    </w:lvl>
    <w:lvl w:ilvl="4">
      <w:start w:val="1"/>
      <w:numFmt w:val="decimal"/>
      <w:isLgl/>
      <w:lvlText w:val="%1.%2.%3.%4.%5"/>
      <w:lvlJc w:val="left"/>
      <w:pPr>
        <w:ind w:left="2381" w:hanging="1440"/>
      </w:pPr>
      <w:rPr>
        <w:rFonts w:hint="default"/>
      </w:rPr>
    </w:lvl>
    <w:lvl w:ilvl="5">
      <w:start w:val="1"/>
      <w:numFmt w:val="decimal"/>
      <w:isLgl/>
      <w:lvlText w:val="%1.%2.%3.%4.%5.%6"/>
      <w:lvlJc w:val="left"/>
      <w:pPr>
        <w:ind w:left="2381" w:hanging="1440"/>
      </w:pPr>
      <w:rPr>
        <w:rFonts w:hint="default"/>
      </w:rPr>
    </w:lvl>
    <w:lvl w:ilvl="6">
      <w:start w:val="1"/>
      <w:numFmt w:val="decimal"/>
      <w:isLgl/>
      <w:lvlText w:val="%1.%2.%3.%4.%5.%6.%7"/>
      <w:lvlJc w:val="left"/>
      <w:pPr>
        <w:ind w:left="2741" w:hanging="1800"/>
      </w:pPr>
      <w:rPr>
        <w:rFonts w:hint="default"/>
      </w:rPr>
    </w:lvl>
    <w:lvl w:ilvl="7">
      <w:start w:val="1"/>
      <w:numFmt w:val="decimal"/>
      <w:isLgl/>
      <w:lvlText w:val="%1.%2.%3.%4.%5.%6.%7.%8"/>
      <w:lvlJc w:val="left"/>
      <w:pPr>
        <w:ind w:left="2741" w:hanging="1800"/>
      </w:pPr>
      <w:rPr>
        <w:rFonts w:hint="default"/>
      </w:rPr>
    </w:lvl>
    <w:lvl w:ilvl="8">
      <w:start w:val="1"/>
      <w:numFmt w:val="decimal"/>
      <w:isLgl/>
      <w:lvlText w:val="%1.%2.%3.%4.%5.%6.%7.%8.%9"/>
      <w:lvlJc w:val="left"/>
      <w:pPr>
        <w:ind w:left="3101" w:hanging="2160"/>
      </w:pPr>
      <w:rPr>
        <w:rFonts w:hint="default"/>
      </w:rPr>
    </w:lvl>
  </w:abstractNum>
  <w:abstractNum w:abstractNumId="1" w15:restartNumberingAfterBreak="0">
    <w:nsid w:val="2A704B02"/>
    <w:multiLevelType w:val="hybridMultilevel"/>
    <w:tmpl w:val="5094C4DE"/>
    <w:lvl w:ilvl="0" w:tplc="04090011">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2" w15:restartNumberingAfterBreak="0">
    <w:nsid w:val="32966322"/>
    <w:multiLevelType w:val="hybridMultilevel"/>
    <w:tmpl w:val="5094C4DE"/>
    <w:lvl w:ilvl="0" w:tplc="04090011">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3" w15:restartNumberingAfterBreak="0">
    <w:nsid w:val="32E839C7"/>
    <w:multiLevelType w:val="hybridMultilevel"/>
    <w:tmpl w:val="D9A2D0C8"/>
    <w:lvl w:ilvl="0" w:tplc="FFFFFFFF">
      <w:start w:val="2001"/>
      <w:numFmt w:val="bullet"/>
      <w:pStyle w:val="stevielist"/>
      <w:lvlText w:val="-"/>
      <w:lvlJc w:val="left"/>
      <w:pPr>
        <w:tabs>
          <w:tab w:val="num" w:pos="360"/>
        </w:tabs>
        <w:ind w:left="360" w:hanging="360"/>
      </w:pPr>
      <w:rPr>
        <w:rFonts w:ascii="Times New Roman" w:eastAsia="MS Mincho"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pStyle w:val="Heading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pStyle w:val="paragraph2"/>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pStyle w:val="paragraph4"/>
      <w:lvlText w:val="o"/>
      <w:lvlJc w:val="left"/>
      <w:pPr>
        <w:tabs>
          <w:tab w:val="num" w:pos="5400"/>
        </w:tabs>
        <w:ind w:left="5400" w:hanging="360"/>
      </w:pPr>
      <w:rPr>
        <w:rFonts w:ascii="Courier New" w:hAnsi="Courier New" w:hint="default"/>
      </w:rPr>
    </w:lvl>
    <w:lvl w:ilvl="8" w:tplc="FFFFFFFF" w:tentative="1">
      <w:start w:val="1"/>
      <w:numFmt w:val="bullet"/>
      <w:pStyle w:val="paragraph5"/>
      <w:lvlText w:val=""/>
      <w:lvlJc w:val="left"/>
      <w:pPr>
        <w:tabs>
          <w:tab w:val="num" w:pos="6120"/>
        </w:tabs>
        <w:ind w:left="6120" w:hanging="360"/>
      </w:pPr>
      <w:rPr>
        <w:rFonts w:ascii="Wingdings" w:hAnsi="Wingdings" w:hint="default"/>
      </w:rPr>
    </w:lvl>
  </w:abstractNum>
  <w:abstractNum w:abstractNumId="4" w15:restartNumberingAfterBreak="0">
    <w:nsid w:val="4B6A613E"/>
    <w:multiLevelType w:val="hybridMultilevel"/>
    <w:tmpl w:val="5094C4DE"/>
    <w:lvl w:ilvl="0" w:tplc="04090011">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5" w15:restartNumberingAfterBreak="0">
    <w:nsid w:val="6A1C7C3F"/>
    <w:multiLevelType w:val="hybridMultilevel"/>
    <w:tmpl w:val="5094C4DE"/>
    <w:lvl w:ilvl="0" w:tplc="04090011">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05"/>
    <w:rsid w:val="00160ADA"/>
    <w:rsid w:val="00253620"/>
    <w:rsid w:val="00276213"/>
    <w:rsid w:val="002C1D05"/>
    <w:rsid w:val="007A47A9"/>
    <w:rsid w:val="00A32BA3"/>
    <w:rsid w:val="00C20376"/>
    <w:rsid w:val="00D5532C"/>
    <w:rsid w:val="00DA3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8FA65A"/>
  <w14:defaultImageDpi w14:val="32767"/>
  <w15:chartTrackingRefBased/>
  <w15:docId w15:val="{E092F0B3-5965-144F-8F1A-90AD16D0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1D05"/>
    <w:pPr>
      <w:spacing w:before="120" w:after="120"/>
      <w:jc w:val="both"/>
    </w:pPr>
    <w:rPr>
      <w:rFonts w:ascii="Book Antiqua" w:eastAsia="MS Mincho" w:hAnsi="Book Antiqua" w:cs="Times New Roman"/>
      <w:sz w:val="22"/>
    </w:rPr>
  </w:style>
  <w:style w:type="paragraph" w:styleId="Heading2">
    <w:name w:val="heading 2"/>
    <w:aliases w:val="h2"/>
    <w:basedOn w:val="Normal"/>
    <w:next w:val="Normal"/>
    <w:link w:val="Heading2Char"/>
    <w:uiPriority w:val="99"/>
    <w:qFormat/>
    <w:rsid w:val="002C1D05"/>
    <w:pPr>
      <w:keepNext/>
      <w:spacing w:before="500" w:line="260" w:lineRule="atLeast"/>
      <w:jc w:val="left"/>
      <w:outlineLvl w:val="1"/>
    </w:pPr>
    <w:rPr>
      <w:rFonts w:ascii="Arial" w:hAnsi="Arial"/>
      <w:b/>
      <w:color w:val="333399"/>
      <w:szCs w:val="20"/>
    </w:rPr>
  </w:style>
  <w:style w:type="paragraph" w:styleId="Heading3">
    <w:name w:val="heading 3"/>
    <w:aliases w:val="h3"/>
    <w:basedOn w:val="Heading2"/>
    <w:next w:val="Normal"/>
    <w:link w:val="Heading3Char"/>
    <w:uiPriority w:val="99"/>
    <w:qFormat/>
    <w:rsid w:val="002C1D05"/>
    <w:pPr>
      <w:numPr>
        <w:ilvl w:val="2"/>
        <w:numId w:val="1"/>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9"/>
    <w:rsid w:val="002C1D05"/>
    <w:rPr>
      <w:rFonts w:ascii="Arial" w:eastAsia="MS Mincho" w:hAnsi="Arial" w:cs="Times New Roman"/>
      <w:b/>
      <w:color w:val="333399"/>
      <w:sz w:val="22"/>
      <w:szCs w:val="20"/>
    </w:rPr>
  </w:style>
  <w:style w:type="character" w:customStyle="1" w:styleId="Heading3Char">
    <w:name w:val="Heading 3 Char"/>
    <w:aliases w:val="h3 Char"/>
    <w:basedOn w:val="DefaultParagraphFont"/>
    <w:link w:val="Heading3"/>
    <w:uiPriority w:val="99"/>
    <w:rsid w:val="002C1D05"/>
    <w:rPr>
      <w:rFonts w:ascii="Arial" w:eastAsia="MS Mincho" w:hAnsi="Arial" w:cs="Times New Roman"/>
      <w:b/>
      <w:color w:val="333399"/>
      <w:sz w:val="22"/>
      <w:szCs w:val="20"/>
    </w:rPr>
  </w:style>
  <w:style w:type="paragraph" w:styleId="Footer">
    <w:name w:val="footer"/>
    <w:aliases w:val="fo"/>
    <w:basedOn w:val="Normal"/>
    <w:link w:val="FooterChar"/>
    <w:uiPriority w:val="99"/>
    <w:unhideWhenUsed/>
    <w:rsid w:val="002C1D05"/>
    <w:pPr>
      <w:tabs>
        <w:tab w:val="center" w:pos="4320"/>
        <w:tab w:val="right" w:pos="8640"/>
      </w:tabs>
    </w:pPr>
    <w:rPr>
      <w:rFonts w:ascii="Cambria" w:eastAsia="Cambria" w:hAnsi="Cambria"/>
      <w:sz w:val="24"/>
    </w:rPr>
  </w:style>
  <w:style w:type="character" w:customStyle="1" w:styleId="FooterChar">
    <w:name w:val="Footer Char"/>
    <w:aliases w:val="fo Char"/>
    <w:basedOn w:val="DefaultParagraphFont"/>
    <w:link w:val="Footer"/>
    <w:uiPriority w:val="99"/>
    <w:rsid w:val="002C1D05"/>
    <w:rPr>
      <w:rFonts w:ascii="Cambria" w:eastAsia="Cambria" w:hAnsi="Cambria" w:cs="Times New Roman"/>
    </w:rPr>
  </w:style>
  <w:style w:type="character" w:customStyle="1" w:styleId="EndFooterSection">
    <w:name w:val="EndFooterSection"/>
    <w:uiPriority w:val="99"/>
    <w:rsid w:val="002C1D05"/>
    <w:rPr>
      <w:rFonts w:ascii="Palatino" w:hAnsi="Palatino" w:cs="Times New Roman"/>
      <w:sz w:val="20"/>
    </w:rPr>
  </w:style>
  <w:style w:type="paragraph" w:customStyle="1" w:styleId="FooterLeft">
    <w:name w:val="FooterLeft"/>
    <w:aliases w:val="fl"/>
    <w:basedOn w:val="Footer"/>
    <w:uiPriority w:val="99"/>
    <w:rsid w:val="002C1D05"/>
    <w:pPr>
      <w:tabs>
        <w:tab w:val="clear" w:pos="4320"/>
        <w:tab w:val="clear" w:pos="8640"/>
      </w:tabs>
      <w:ind w:right="-34"/>
    </w:pPr>
    <w:rPr>
      <w:sz w:val="20"/>
      <w:szCs w:val="20"/>
    </w:rPr>
  </w:style>
  <w:style w:type="paragraph" w:customStyle="1" w:styleId="FooterRight">
    <w:name w:val="FooterRight"/>
    <w:aliases w:val="fr"/>
    <w:basedOn w:val="Footer"/>
    <w:uiPriority w:val="99"/>
    <w:rsid w:val="002C1D05"/>
    <w:pPr>
      <w:tabs>
        <w:tab w:val="clear" w:pos="4320"/>
        <w:tab w:val="clear" w:pos="8640"/>
        <w:tab w:val="right" w:pos="2534"/>
        <w:tab w:val="right" w:pos="2972"/>
      </w:tabs>
      <w:ind w:right="-43"/>
    </w:pPr>
    <w:rPr>
      <w:sz w:val="20"/>
      <w:szCs w:val="20"/>
    </w:rPr>
  </w:style>
  <w:style w:type="paragraph" w:styleId="ListParagraph">
    <w:name w:val="List Paragraph"/>
    <w:basedOn w:val="Normal"/>
    <w:uiPriority w:val="34"/>
    <w:qFormat/>
    <w:rsid w:val="002C1D05"/>
    <w:pPr>
      <w:ind w:left="720"/>
      <w:contextualSpacing/>
    </w:pPr>
  </w:style>
  <w:style w:type="paragraph" w:customStyle="1" w:styleId="paragraph4">
    <w:name w:val="paragraph 4"/>
    <w:aliases w:val="p4"/>
    <w:basedOn w:val="Normal"/>
    <w:uiPriority w:val="99"/>
    <w:rsid w:val="002C1D05"/>
    <w:pPr>
      <w:keepLines/>
      <w:numPr>
        <w:ilvl w:val="7"/>
        <w:numId w:val="1"/>
      </w:numPr>
      <w:tabs>
        <w:tab w:val="left" w:pos="2420"/>
      </w:tabs>
      <w:spacing w:before="260" w:line="260" w:lineRule="atLeast"/>
    </w:pPr>
    <w:rPr>
      <w:szCs w:val="20"/>
    </w:rPr>
  </w:style>
  <w:style w:type="paragraph" w:customStyle="1" w:styleId="paragraph2">
    <w:name w:val="paragraph 2"/>
    <w:aliases w:val="p2"/>
    <w:basedOn w:val="Normal"/>
    <w:uiPriority w:val="99"/>
    <w:rsid w:val="002C1D05"/>
    <w:pPr>
      <w:keepLines/>
      <w:numPr>
        <w:ilvl w:val="5"/>
        <w:numId w:val="1"/>
      </w:numPr>
      <w:tabs>
        <w:tab w:val="num" w:pos="851"/>
        <w:tab w:val="left" w:pos="2420"/>
      </w:tabs>
      <w:spacing w:before="260" w:line="260" w:lineRule="atLeast"/>
      <w:ind w:hanging="851"/>
    </w:pPr>
    <w:rPr>
      <w:szCs w:val="20"/>
    </w:rPr>
  </w:style>
  <w:style w:type="paragraph" w:customStyle="1" w:styleId="paragraph5">
    <w:name w:val="paragraph 5"/>
    <w:aliases w:val="p5"/>
    <w:basedOn w:val="Normal"/>
    <w:uiPriority w:val="99"/>
    <w:rsid w:val="002C1D05"/>
    <w:pPr>
      <w:keepLines/>
      <w:numPr>
        <w:ilvl w:val="8"/>
        <w:numId w:val="1"/>
      </w:numPr>
      <w:tabs>
        <w:tab w:val="num" w:pos="1080"/>
        <w:tab w:val="left" w:pos="2420"/>
      </w:tabs>
      <w:spacing w:before="260" w:line="260" w:lineRule="atLeast"/>
      <w:ind w:hanging="851"/>
    </w:pPr>
    <w:rPr>
      <w:szCs w:val="20"/>
    </w:rPr>
  </w:style>
  <w:style w:type="paragraph" w:customStyle="1" w:styleId="stevielist">
    <w:name w:val="stevie list"/>
    <w:basedOn w:val="Normal"/>
    <w:uiPriority w:val="99"/>
    <w:rsid w:val="002C1D05"/>
    <w:pPr>
      <w:numPr>
        <w:numId w:val="1"/>
      </w:numPr>
      <w:jc w:val="left"/>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George Dyke</cp:lastModifiedBy>
  <cp:revision>2</cp:revision>
  <dcterms:created xsi:type="dcterms:W3CDTF">2018-04-20T22:05:00Z</dcterms:created>
  <dcterms:modified xsi:type="dcterms:W3CDTF">2018-04-20T22:06:00Z</dcterms:modified>
</cp:coreProperties>
</file>