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01B8E" w14:textId="77777777" w:rsidR="00410201" w:rsidRPr="00F25B2A" w:rsidRDefault="00404CFA" w:rsidP="00F25B2A">
      <w:pPr>
        <w:pBdr>
          <w:bottom w:val="single" w:sz="4" w:space="1" w:color="auto"/>
        </w:pBdr>
        <w:tabs>
          <w:tab w:val="left" w:pos="1027"/>
        </w:tabs>
        <w:rPr>
          <w:b/>
        </w:rPr>
      </w:pPr>
      <w:r w:rsidRPr="00F25B2A">
        <w:rPr>
          <w:b/>
        </w:rPr>
        <w:t>SIT-29 Action Status Update</w:t>
      </w:r>
    </w:p>
    <w:p w14:paraId="11FE1B49" w14:textId="52E06D13" w:rsidR="00404CFA" w:rsidRPr="00F25B2A" w:rsidRDefault="00824BBC" w:rsidP="00404CFA">
      <w:pPr>
        <w:tabs>
          <w:tab w:val="left" w:pos="1027"/>
        </w:tabs>
        <w:rPr>
          <w:i/>
        </w:rPr>
      </w:pPr>
      <w:proofErr w:type="gramStart"/>
      <w:r w:rsidRPr="00F25B2A">
        <w:rPr>
          <w:i/>
        </w:rPr>
        <w:t>Summary of the status of all SIT-28 and 27</w:t>
      </w:r>
      <w:r w:rsidRPr="00F25B2A">
        <w:rPr>
          <w:i/>
          <w:vertAlign w:val="superscript"/>
        </w:rPr>
        <w:t>th</w:t>
      </w:r>
      <w:r w:rsidRPr="00F25B2A">
        <w:rPr>
          <w:i/>
        </w:rPr>
        <w:t xml:space="preserve"> CEOS Plenary (Montreal) actions with a SIT-29 due date.</w:t>
      </w:r>
      <w:proofErr w:type="gramEnd"/>
    </w:p>
    <w:p w14:paraId="2698B39B" w14:textId="6C802C64" w:rsidR="00404CFA" w:rsidRPr="00F25B2A" w:rsidRDefault="00404CFA" w:rsidP="00F25B2A">
      <w:pPr>
        <w:tabs>
          <w:tab w:val="left" w:pos="1027"/>
        </w:tabs>
        <w:spacing w:before="120" w:after="120"/>
        <w:rPr>
          <w:u w:val="single"/>
        </w:rPr>
      </w:pPr>
      <w:r w:rsidRPr="00F25B2A">
        <w:rPr>
          <w:u w:val="single"/>
        </w:rPr>
        <w:t>SIT-28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"/>
        <w:gridCol w:w="5848"/>
        <w:gridCol w:w="3408"/>
      </w:tblGrid>
      <w:tr w:rsidR="00404CFA" w:rsidRPr="0093043C" w14:paraId="0E91A985" w14:textId="77777777" w:rsidTr="00056F8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B2EF9F4" w14:textId="77777777" w:rsidR="00404CFA" w:rsidRPr="0093043C" w:rsidRDefault="00404CFA" w:rsidP="00056F84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No.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437EBC4" w14:textId="77777777" w:rsidR="00404CFA" w:rsidRPr="0093043C" w:rsidRDefault="00404CFA" w:rsidP="00056F84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Action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05CAE25" w14:textId="77777777" w:rsidR="00404CFA" w:rsidRPr="0093043C" w:rsidRDefault="00404CFA" w:rsidP="00056F84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Due date</w:t>
            </w:r>
          </w:p>
        </w:tc>
      </w:tr>
      <w:tr w:rsidR="00404CFA" w:rsidRPr="0093043C" w14:paraId="7861D6BB" w14:textId="77777777" w:rsidTr="00F25B2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4C23E0A" w14:textId="77777777" w:rsidR="00404CFA" w:rsidRPr="0093043C" w:rsidRDefault="00404CFA" w:rsidP="00056F84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SIT 28-7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D2D967" w14:textId="77777777" w:rsidR="00404CFA" w:rsidRPr="0093043C" w:rsidRDefault="00404CFA" w:rsidP="00056F84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 w:rsidRPr="0093043C">
              <w:rPr>
                <w:rFonts w:ascii="Calibri" w:hAnsi="Calibri"/>
                <w:sz w:val="20"/>
                <w:lang w:val="en-AU"/>
              </w:rPr>
              <w:t>SDCG to develop Element 2 of the CEOS Data Strategy for GFOI and to work drafts with relevant data stream providers to support future endorsement by SIT for implementation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923349" w14:textId="77777777" w:rsidR="00404CFA" w:rsidRDefault="00404CFA" w:rsidP="00056F84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 w:rsidRPr="0093043C">
              <w:rPr>
                <w:rFonts w:ascii="Calibri" w:hAnsi="Calibri"/>
                <w:sz w:val="20"/>
                <w:lang w:val="en-AU"/>
              </w:rPr>
              <w:t>SIT-29</w:t>
            </w:r>
          </w:p>
          <w:p w14:paraId="607E284E" w14:textId="77777777" w:rsidR="003E3EB0" w:rsidRDefault="003E3EB0" w:rsidP="00056F84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COMPLETE</w:t>
            </w:r>
          </w:p>
          <w:p w14:paraId="15EB211B" w14:textId="3E3EBE11" w:rsidR="003E3EB0" w:rsidRPr="0093043C" w:rsidRDefault="003E3EB0" w:rsidP="00056F84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Will be presented for endorsement at SIT-29</w:t>
            </w:r>
          </w:p>
        </w:tc>
      </w:tr>
    </w:tbl>
    <w:p w14:paraId="49A1AA9D" w14:textId="63FE736E" w:rsidR="00404CFA" w:rsidRPr="00F25B2A" w:rsidRDefault="00450D7F" w:rsidP="00F25B2A">
      <w:pPr>
        <w:tabs>
          <w:tab w:val="left" w:pos="1027"/>
        </w:tabs>
        <w:spacing w:before="360" w:after="120"/>
        <w:rPr>
          <w:u w:val="single"/>
        </w:rPr>
      </w:pPr>
      <w:r>
        <w:rPr>
          <w:u w:val="single"/>
        </w:rPr>
        <w:t>27th CEOS Plenary</w:t>
      </w:r>
    </w:p>
    <w:tbl>
      <w:tblPr>
        <w:tblW w:w="948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57"/>
        <w:gridCol w:w="1559"/>
        <w:gridCol w:w="2268"/>
      </w:tblGrid>
      <w:tr w:rsidR="00404CFA" w:rsidRPr="00636729" w14:paraId="14A4B89E" w14:textId="77777777" w:rsidTr="00B51628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14:paraId="34230EBD" w14:textId="77777777" w:rsidR="00404CFA" w:rsidRPr="00636729" w:rsidRDefault="00404CFA" w:rsidP="00B51628">
            <w:pPr>
              <w:tabs>
                <w:tab w:val="left" w:pos="1559"/>
              </w:tabs>
              <w:spacing w:before="120"/>
              <w:jc w:val="center"/>
              <w:rPr>
                <w:b/>
                <w:color w:val="FFFFFF"/>
                <w:sz w:val="22"/>
                <w:szCs w:val="22"/>
              </w:rPr>
            </w:pPr>
            <w:r w:rsidRPr="00636729">
              <w:rPr>
                <w:b/>
                <w:color w:val="FFFFFF"/>
                <w:sz w:val="22"/>
                <w:szCs w:val="22"/>
              </w:rPr>
              <w:t>No.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14:paraId="3FF92521" w14:textId="77777777" w:rsidR="00404CFA" w:rsidRPr="00636729" w:rsidRDefault="00404CFA" w:rsidP="00B51628">
            <w:pPr>
              <w:spacing w:before="120"/>
              <w:jc w:val="center"/>
              <w:rPr>
                <w:b/>
                <w:bCs/>
                <w:snapToGrid w:val="0"/>
                <w:color w:val="FFFFFF"/>
                <w:sz w:val="22"/>
                <w:szCs w:val="22"/>
              </w:rPr>
            </w:pPr>
            <w:r w:rsidRPr="00636729">
              <w:rPr>
                <w:b/>
                <w:bCs/>
                <w:snapToGrid w:val="0"/>
                <w:color w:val="FFFFFF"/>
                <w:sz w:val="22"/>
                <w:szCs w:val="22"/>
              </w:rPr>
              <w:t>Action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14:paraId="54122CDE" w14:textId="77777777" w:rsidR="00404CFA" w:rsidRPr="00636729" w:rsidRDefault="00404CFA" w:rsidP="00B51628">
            <w:pPr>
              <w:spacing w:before="120"/>
              <w:jc w:val="center"/>
              <w:rPr>
                <w:b/>
                <w:color w:val="FFFFFF"/>
                <w:sz w:val="22"/>
                <w:szCs w:val="22"/>
              </w:rPr>
            </w:pPr>
            <w:proofErr w:type="spellStart"/>
            <w:r>
              <w:rPr>
                <w:b/>
                <w:color w:val="FFFFFF"/>
                <w:sz w:val="22"/>
                <w:szCs w:val="22"/>
              </w:rPr>
              <w:t>Actionee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14:paraId="58501E3C" w14:textId="77777777" w:rsidR="00404CFA" w:rsidRPr="00636729" w:rsidRDefault="00404CFA" w:rsidP="00B51628">
            <w:pPr>
              <w:spacing w:before="120"/>
              <w:jc w:val="center"/>
              <w:rPr>
                <w:b/>
                <w:color w:val="FFFFFF"/>
                <w:sz w:val="22"/>
                <w:szCs w:val="22"/>
              </w:rPr>
            </w:pPr>
            <w:r w:rsidRPr="00636729">
              <w:rPr>
                <w:b/>
                <w:color w:val="FFFFFF"/>
                <w:sz w:val="22"/>
                <w:szCs w:val="22"/>
              </w:rPr>
              <w:t>Due Date</w:t>
            </w:r>
          </w:p>
        </w:tc>
      </w:tr>
      <w:tr w:rsidR="00404CFA" w:rsidRPr="004E212F" w14:paraId="6A566130" w14:textId="77777777" w:rsidTr="00B5162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A803" w14:textId="77777777" w:rsidR="00404CFA" w:rsidRDefault="00404CFA" w:rsidP="00B51628">
            <w:pPr>
              <w:tabs>
                <w:tab w:val="left" w:pos="1559"/>
              </w:tabs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27-4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4DE2" w14:textId="77777777" w:rsidR="00404CFA" w:rsidRPr="00292794" w:rsidRDefault="00404CFA" w:rsidP="00B51628">
            <w:pPr>
              <w:spacing w:before="80" w:after="80"/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Prepare </w:t>
            </w:r>
            <w:r w:rsidRPr="00643245"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a process paper(s)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, with the support of a writing team,</w:t>
            </w:r>
            <w:r w:rsidRPr="00643245"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for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: (a)</w:t>
            </w:r>
            <w:r w:rsidRPr="00643245"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CEOS Working Groups</w:t>
            </w:r>
            <w:proofErr w:type="gram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;</w:t>
            </w:r>
            <w:proofErr w:type="gramEnd"/>
            <w:r w:rsidRPr="00643245"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and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, (b)</w:t>
            </w:r>
            <w:r w:rsidRPr="00643245"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for guidance on proposals for new CEOS initiatives.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(Interest expressed by Mark Dowell, Marie-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Josée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Bourssa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, Ivan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Petiteville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, Brian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Killough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, and Steven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Hosford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CC4B" w14:textId="77777777" w:rsidR="00404CFA" w:rsidRDefault="00404CFA" w:rsidP="00B51628">
            <w:pPr>
              <w:spacing w:before="80" w:after="80"/>
              <w:jc w:val="center"/>
              <w:rPr>
                <w:b/>
                <w:sz w:val="22"/>
                <w:szCs w:val="22"/>
                <w:lang w:val="en-AU"/>
              </w:rPr>
            </w:pPr>
            <w:r w:rsidRPr="00643245"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CEO, in consultation with CEOS SEC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7B91" w14:textId="77777777" w:rsidR="00757474" w:rsidRDefault="00404CFA" w:rsidP="00B51628">
            <w:pPr>
              <w:spacing w:before="80" w:after="80"/>
              <w:jc w:val="center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SIT-29</w:t>
            </w:r>
          </w:p>
          <w:p w14:paraId="0C3F1006" w14:textId="3503930C" w:rsidR="00404CFA" w:rsidRPr="00F25B2A" w:rsidRDefault="00B50949" w:rsidP="00B51628">
            <w:pPr>
              <w:spacing w:before="80" w:after="80"/>
              <w:jc w:val="center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Agenda</w:t>
            </w:r>
            <w:r w:rsidR="00757474" w:rsidRPr="00F25B2A">
              <w:rPr>
                <w:sz w:val="22"/>
                <w:szCs w:val="22"/>
                <w:lang w:val="en-AU"/>
              </w:rPr>
              <w:t xml:space="preserve"> item 7.</w:t>
            </w:r>
          </w:p>
        </w:tc>
      </w:tr>
      <w:tr w:rsidR="00404CFA" w:rsidRPr="004E212F" w14:paraId="47FF9D42" w14:textId="77777777" w:rsidTr="00B5162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5252" w14:textId="77777777" w:rsidR="00404CFA" w:rsidRDefault="00404CFA" w:rsidP="00B51628">
            <w:pPr>
              <w:tabs>
                <w:tab w:val="left" w:pos="1559"/>
              </w:tabs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27-5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CC23" w14:textId="77777777" w:rsidR="00404CFA" w:rsidRDefault="00404CFA" w:rsidP="00B51628">
            <w:pPr>
              <w:spacing w:before="80" w:after="80"/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Develop and present</w:t>
            </w:r>
            <w:r w:rsidRPr="00643245"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a recommendation for a CEOS document configuration management system.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24F7" w14:textId="77777777" w:rsidR="00404CFA" w:rsidRDefault="00404CFA" w:rsidP="00B51628">
            <w:pPr>
              <w:spacing w:before="80" w:after="80"/>
              <w:jc w:val="center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bCs/>
                <w:sz w:val="22"/>
                <w:szCs w:val="22"/>
              </w:rPr>
              <w:t xml:space="preserve">SEO, 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in consultation with CEOS SEC and CEO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2272" w14:textId="77777777" w:rsidR="00404CFA" w:rsidRDefault="00404CFA" w:rsidP="00B51628">
            <w:pPr>
              <w:spacing w:before="80" w:after="80"/>
              <w:jc w:val="center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SIT-29</w:t>
            </w:r>
          </w:p>
          <w:p w14:paraId="11641829" w14:textId="18382488" w:rsidR="005A4542" w:rsidRDefault="00B50949" w:rsidP="00B51628">
            <w:pPr>
              <w:spacing w:before="80" w:after="80"/>
              <w:jc w:val="center"/>
              <w:rPr>
                <w:b/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Agenda</w:t>
            </w:r>
            <w:r w:rsidR="005A4542">
              <w:rPr>
                <w:sz w:val="22"/>
                <w:szCs w:val="22"/>
                <w:lang w:val="en-AU"/>
              </w:rPr>
              <w:t xml:space="preserve"> item 13</w:t>
            </w:r>
            <w:r w:rsidR="005A4542" w:rsidRPr="009C4F91">
              <w:rPr>
                <w:sz w:val="22"/>
                <w:szCs w:val="22"/>
                <w:lang w:val="en-AU"/>
              </w:rPr>
              <w:t>.</w:t>
            </w:r>
          </w:p>
        </w:tc>
      </w:tr>
      <w:tr w:rsidR="00404CFA" w:rsidRPr="004E212F" w14:paraId="376EFD9B" w14:textId="77777777" w:rsidTr="00B5162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AA4E" w14:textId="77777777" w:rsidR="00404CFA" w:rsidRDefault="00404CFA" w:rsidP="00B51628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27-9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3F4A" w14:textId="3FE0D604" w:rsidR="00404CFA" w:rsidRPr="00FC61A0" w:rsidRDefault="00404CFA" w:rsidP="00B51628">
            <w:pPr>
              <w:spacing w:before="120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Develop the full Recovery Observatory proposal for approval.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C243" w14:textId="77777777" w:rsidR="00404CFA" w:rsidRDefault="00404CFA" w:rsidP="00B5162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WGDisasters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EE98" w14:textId="77777777" w:rsidR="00404CFA" w:rsidRDefault="00404CFA" w:rsidP="00B5162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SIT-29</w:t>
            </w:r>
          </w:p>
          <w:p w14:paraId="2E6D7003" w14:textId="3C4B9B36" w:rsidR="00B50949" w:rsidRDefault="00B5094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AU"/>
              </w:rPr>
              <w:t>Agenda item 18</w:t>
            </w:r>
            <w:r w:rsidRPr="009C4F91">
              <w:rPr>
                <w:sz w:val="22"/>
                <w:szCs w:val="22"/>
                <w:lang w:val="en-AU"/>
              </w:rPr>
              <w:t>.</w:t>
            </w:r>
          </w:p>
        </w:tc>
      </w:tr>
      <w:tr w:rsidR="00404CFA" w:rsidRPr="004E212F" w14:paraId="14373F80" w14:textId="77777777" w:rsidTr="00B5162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E6F8" w14:textId="77777777" w:rsidR="00404CFA" w:rsidRDefault="00404CFA" w:rsidP="00B51628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27-10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92C3" w14:textId="77777777" w:rsidR="00404CFA" w:rsidRPr="00FC61A0" w:rsidRDefault="00404CFA" w:rsidP="00B51628">
            <w:pPr>
              <w:spacing w:before="120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CA"/>
              </w:rPr>
              <w:t>Propose a way forward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for the </w:t>
            </w:r>
            <w:r w:rsidRPr="003F0F46">
              <w:rPr>
                <w:b/>
                <w:bCs/>
                <w:snapToGrid w:val="0"/>
                <w:color w:val="000000"/>
                <w:sz w:val="22"/>
                <w:szCs w:val="22"/>
                <w:lang w:val="en-CA"/>
              </w:rPr>
              <w:t>2015 World Conference on Disaster Risk Reduction (WCDRR)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C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EE12" w14:textId="77777777" w:rsidR="00404CFA" w:rsidRDefault="00404CFA" w:rsidP="00B5162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JAXA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D22E" w14:textId="77777777" w:rsidR="00404CFA" w:rsidRDefault="00404CFA" w:rsidP="00B5162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SIT-29</w:t>
            </w:r>
          </w:p>
          <w:p w14:paraId="2A1C2153" w14:textId="6A0D6655" w:rsidR="00D45A1B" w:rsidRDefault="00D45A1B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AU"/>
              </w:rPr>
              <w:t>Agenda item 19</w:t>
            </w:r>
            <w:r w:rsidRPr="009C4F91">
              <w:rPr>
                <w:sz w:val="22"/>
                <w:szCs w:val="22"/>
                <w:lang w:val="en-AU"/>
              </w:rPr>
              <w:t>.</w:t>
            </w:r>
          </w:p>
        </w:tc>
      </w:tr>
      <w:tr w:rsidR="00404CFA" w:rsidRPr="004E212F" w14:paraId="235D1383" w14:textId="77777777" w:rsidTr="00B5162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DCE1" w14:textId="77777777" w:rsidR="00404CFA" w:rsidRDefault="00404CFA" w:rsidP="00B51628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27-11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733C" w14:textId="77777777" w:rsidR="00404CFA" w:rsidRPr="00DB4515" w:rsidRDefault="00404CFA" w:rsidP="00B51628">
            <w:pPr>
              <w:spacing w:before="120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Prepare for approval the strategic data acquisition plan in response to the floods, seismic risk, and volcanoes pilots’ EO requirements.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BA4A" w14:textId="77777777" w:rsidR="00404CFA" w:rsidRDefault="00404CFA" w:rsidP="00B5162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WGDisasters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B2A2" w14:textId="77777777" w:rsidR="00404CFA" w:rsidRDefault="00404CFA" w:rsidP="00B5162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SIT-29</w:t>
            </w:r>
          </w:p>
          <w:p w14:paraId="76F1552A" w14:textId="4B7416B1" w:rsidR="002D63C5" w:rsidRDefault="002D63C5" w:rsidP="00B5162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AU"/>
              </w:rPr>
              <w:t>Agenda item 18.</w:t>
            </w:r>
          </w:p>
        </w:tc>
      </w:tr>
      <w:tr w:rsidR="00404CFA" w:rsidRPr="004E212F" w14:paraId="15B84D03" w14:textId="77777777" w:rsidTr="00B5162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47C1" w14:textId="77777777" w:rsidR="00404CFA" w:rsidRPr="004E212F" w:rsidRDefault="00404CFA" w:rsidP="00B51628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27-12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95AC" w14:textId="77777777" w:rsidR="00404CFA" w:rsidRPr="00FC61A0" w:rsidRDefault="00404CFA" w:rsidP="00B51628">
            <w:pPr>
              <w:spacing w:before="120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Prepare the structure of the new CEOS Working Group on Disasters (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WGDisasters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), encompassing the current work on Supersites coordination, Disaster Risk Management (three pilots, acquisition strategy), the Recovery Observatory proposal, the Disasters SBA, and other CEOS disasters-related activities.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CA2B" w14:textId="77777777" w:rsidR="00404CFA" w:rsidRDefault="00404CFA" w:rsidP="00B5162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WGDisasters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1802" w14:textId="77777777" w:rsidR="00404CFA" w:rsidRDefault="00404CFA" w:rsidP="00B5162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SIT-29</w:t>
            </w:r>
          </w:p>
          <w:p w14:paraId="3D698FA4" w14:textId="608CA6AA" w:rsidR="00AA10C9" w:rsidRPr="004E212F" w:rsidRDefault="00AA10C9" w:rsidP="00B5162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AU"/>
              </w:rPr>
              <w:t>Agenda item 17.</w:t>
            </w:r>
          </w:p>
        </w:tc>
      </w:tr>
      <w:tr w:rsidR="00404CFA" w:rsidRPr="004E212F" w14:paraId="1FD85E32" w14:textId="77777777" w:rsidTr="00F25B2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4473" w14:textId="77777777" w:rsidR="00404CFA" w:rsidRPr="004E212F" w:rsidRDefault="00404CFA" w:rsidP="00B51628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27-14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07E231" w14:textId="77777777" w:rsidR="00404CFA" w:rsidRPr="000A5F83" w:rsidRDefault="00404CFA" w:rsidP="00B51628">
            <w:pPr>
              <w:spacing w:before="120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Ensure a focused, comprehensive preparation of the discussion on implementation of the CEOS Carbon Strategy at SIT-29.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7D59A8" w14:textId="77777777" w:rsidR="00404CFA" w:rsidRDefault="00404CFA" w:rsidP="00B5162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CEOS SEC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766979" w14:textId="77777777" w:rsidR="00404CFA" w:rsidRDefault="00404CFA" w:rsidP="00B5162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SIT-29</w:t>
            </w:r>
          </w:p>
          <w:p w14:paraId="1F8B5898" w14:textId="77777777" w:rsidR="00B017F2" w:rsidRDefault="008D72A7" w:rsidP="00B5162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COMPLETE</w:t>
            </w:r>
            <w:r w:rsidR="007A75C7">
              <w:rPr>
                <w:b/>
                <w:bCs/>
                <w:sz w:val="22"/>
                <w:szCs w:val="22"/>
              </w:rPr>
              <w:t>.</w:t>
            </w:r>
          </w:p>
          <w:p w14:paraId="11E52C12" w14:textId="3FD27A30" w:rsidR="008D72A7" w:rsidRPr="004E212F" w:rsidRDefault="007A75C7" w:rsidP="00B5162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AU"/>
              </w:rPr>
              <w:t>Agenda item 15.</w:t>
            </w:r>
          </w:p>
        </w:tc>
      </w:tr>
      <w:tr w:rsidR="00B56CE5" w:rsidRPr="004E212F" w14:paraId="77024E7A" w14:textId="77777777" w:rsidTr="002773EF">
        <w:trPr>
          <w:cantSplit/>
          <w:trHeight w:val="33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26BB8" w14:textId="77777777" w:rsidR="00B56CE5" w:rsidRDefault="00B56CE5" w:rsidP="00B51628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27-15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B5D97" w14:textId="77777777" w:rsidR="00B56CE5" w:rsidRDefault="00B56CE5" w:rsidP="00B51628">
            <w:pPr>
              <w:spacing w:before="120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To develop a list of implementation options for the CEOS Carbon Strategy, including a recommended option.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24B56" w14:textId="77777777" w:rsidR="00B56CE5" w:rsidRDefault="00B56CE5" w:rsidP="00B5162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Carbon Task Force, in consultation with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WGClimate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, and other stakeholders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CA731" w14:textId="77777777" w:rsidR="00B56CE5" w:rsidRDefault="00B56CE5" w:rsidP="00B5162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SIT-29</w:t>
            </w:r>
          </w:p>
          <w:p w14:paraId="7FE10824" w14:textId="1340EC51" w:rsidR="00B56CE5" w:rsidRPr="00B56CE5" w:rsidRDefault="00B56CE5" w:rsidP="00B56CE5">
            <w:pPr>
              <w:spacing w:before="120"/>
              <w:jc w:val="center"/>
              <w:rPr>
                <w:rFonts w:ascii="Lucida Grande" w:hAnsi="Lucida Grande" w:cs="Lucida Grande"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AU"/>
              </w:rPr>
              <w:t>Agenda item 15.</w:t>
            </w:r>
          </w:p>
        </w:tc>
      </w:tr>
      <w:tr w:rsidR="00B56CE5" w:rsidRPr="004E212F" w14:paraId="1613CC18" w14:textId="77777777" w:rsidTr="002773EF">
        <w:trPr>
          <w:cantSplit/>
          <w:trHeight w:val="335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55827" w14:textId="77777777" w:rsidR="00B56CE5" w:rsidRDefault="00B56CE5" w:rsidP="00B51628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3A97B" w14:textId="4E9AB170" w:rsidR="00B56CE5" w:rsidRPr="00B56CE5" w:rsidRDefault="00B56CE5" w:rsidP="006F7335">
            <w:pPr>
              <w:spacing w:before="120"/>
              <w:rPr>
                <w:bCs/>
                <w:i/>
                <w:snapToGrid w:val="0"/>
                <w:color w:val="000000"/>
                <w:sz w:val="22"/>
                <w:szCs w:val="22"/>
              </w:rPr>
            </w:pPr>
            <w:r w:rsidRPr="00B56CE5">
              <w:rPr>
                <w:b/>
                <w:bCs/>
                <w:i/>
                <w:snapToGrid w:val="0"/>
                <w:color w:val="000000"/>
                <w:sz w:val="22"/>
                <w:szCs w:val="22"/>
              </w:rPr>
              <w:t>Status Summary:</w:t>
            </w:r>
            <w:r w:rsidRPr="00B56CE5">
              <w:rPr>
                <w:bCs/>
                <w:i/>
                <w:snapToGrid w:val="0"/>
                <w:color w:val="000000"/>
                <w:sz w:val="22"/>
                <w:szCs w:val="22"/>
              </w:rPr>
              <w:t xml:space="preserve"> Although there has been interaction with stakeholders, there has not been time for in-depth consultation and crafting of a mutually agreeable recommendation. CTF recommends that</w:t>
            </w:r>
            <w:r w:rsidR="006F7335">
              <w:rPr>
                <w:bCs/>
                <w:i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56CE5">
              <w:rPr>
                <w:bCs/>
                <w:i/>
                <w:snapToGrid w:val="0"/>
                <w:color w:val="000000"/>
                <w:sz w:val="22"/>
                <w:szCs w:val="22"/>
              </w:rPr>
              <w:t>CEOS would</w:t>
            </w:r>
            <w:r w:rsidR="006F7335">
              <w:rPr>
                <w:bCs/>
                <w:i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56CE5">
              <w:rPr>
                <w:bCs/>
                <w:i/>
                <w:snapToGrid w:val="0"/>
                <w:color w:val="000000"/>
                <w:sz w:val="22"/>
                <w:szCs w:val="22"/>
              </w:rPr>
              <w:t>benefit by devoting additional time for a</w:t>
            </w:r>
            <w:r w:rsidR="006F7335">
              <w:rPr>
                <w:bCs/>
                <w:i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56CE5">
              <w:rPr>
                <w:bCs/>
                <w:i/>
                <w:snapToGrid w:val="0"/>
                <w:color w:val="000000"/>
                <w:sz w:val="22"/>
                <w:szCs w:val="22"/>
              </w:rPr>
              <w:t>short</w:t>
            </w:r>
            <w:r w:rsidR="005E49CE">
              <w:rPr>
                <w:bCs/>
                <w:i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56CE5">
              <w:rPr>
                <w:bCs/>
                <w:i/>
                <w:snapToGrid w:val="0"/>
                <w:color w:val="000000"/>
                <w:sz w:val="22"/>
                <w:szCs w:val="22"/>
              </w:rPr>
              <w:t>study</w:t>
            </w:r>
            <w:r w:rsidR="006F7335">
              <w:rPr>
                <w:bCs/>
                <w:i/>
                <w:snapToGrid w:val="0"/>
                <w:color w:val="000000"/>
                <w:sz w:val="22"/>
                <w:szCs w:val="22"/>
              </w:rPr>
              <w:t xml:space="preserve"> of </w:t>
            </w:r>
            <w:r w:rsidRPr="00B56CE5">
              <w:rPr>
                <w:bCs/>
                <w:i/>
                <w:snapToGrid w:val="0"/>
                <w:color w:val="000000"/>
                <w:sz w:val="22"/>
                <w:szCs w:val="22"/>
              </w:rPr>
              <w:t>these</w:t>
            </w:r>
            <w:r w:rsidR="006F7335">
              <w:rPr>
                <w:bCs/>
                <w:i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56CE5">
              <w:rPr>
                <w:bCs/>
                <w:i/>
                <w:snapToGrid w:val="0"/>
                <w:color w:val="000000"/>
                <w:sz w:val="22"/>
                <w:szCs w:val="22"/>
              </w:rPr>
              <w:t>institutional</w:t>
            </w:r>
            <w:r w:rsidR="006F7335">
              <w:rPr>
                <w:bCs/>
                <w:i/>
                <w:snapToGrid w:val="0"/>
                <w:color w:val="000000"/>
                <w:sz w:val="22"/>
                <w:szCs w:val="22"/>
              </w:rPr>
              <w:t xml:space="preserve"> aspects </w:t>
            </w:r>
            <w:r w:rsidRPr="00B56CE5">
              <w:rPr>
                <w:bCs/>
                <w:i/>
                <w:snapToGrid w:val="0"/>
                <w:color w:val="000000"/>
                <w:sz w:val="22"/>
                <w:szCs w:val="22"/>
              </w:rPr>
              <w:t>and sugges</w:t>
            </w:r>
            <w:r w:rsidR="006F7335">
              <w:rPr>
                <w:bCs/>
                <w:i/>
                <w:snapToGrid w:val="0"/>
                <w:color w:val="000000"/>
                <w:sz w:val="22"/>
                <w:szCs w:val="22"/>
              </w:rPr>
              <w:t>ts that some type of an interim</w:t>
            </w:r>
            <w:bookmarkStart w:id="0" w:name="_GoBack"/>
            <w:bookmarkEnd w:id="0"/>
            <w:r w:rsidR="006F7335">
              <w:rPr>
                <w:bCs/>
                <w:i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56CE5">
              <w:rPr>
                <w:bCs/>
                <w:i/>
                <w:snapToGrid w:val="0"/>
                <w:color w:val="000000"/>
                <w:sz w:val="22"/>
                <w:szCs w:val="22"/>
              </w:rPr>
              <w:t>group involving representa</w:t>
            </w:r>
            <w:r w:rsidR="006F7335">
              <w:rPr>
                <w:bCs/>
                <w:i/>
                <w:snapToGrid w:val="0"/>
                <w:color w:val="000000"/>
                <w:sz w:val="22"/>
                <w:szCs w:val="22"/>
              </w:rPr>
              <w:t xml:space="preserve">tives of relevant CEOS entities and the CTF may be an </w:t>
            </w:r>
            <w:r w:rsidRPr="00B56CE5">
              <w:rPr>
                <w:bCs/>
                <w:i/>
                <w:snapToGrid w:val="0"/>
                <w:color w:val="000000"/>
                <w:sz w:val="22"/>
                <w:szCs w:val="22"/>
              </w:rPr>
              <w:t>appropriate next step.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9C14E" w14:textId="77777777" w:rsidR="00B56CE5" w:rsidRDefault="00B56CE5" w:rsidP="00B51628">
            <w:pPr>
              <w:spacing w:before="120"/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99D49" w14:textId="77777777" w:rsidR="00B56CE5" w:rsidRDefault="00B56CE5" w:rsidP="00B5162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04CFA" w:rsidRPr="004E212F" w14:paraId="1A85767B" w14:textId="77777777" w:rsidTr="00F25B2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8992D6" w14:textId="77777777" w:rsidR="00404CFA" w:rsidRPr="004E212F" w:rsidRDefault="00404CFA" w:rsidP="00B51628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27-16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D2E099" w14:textId="77777777" w:rsidR="00404CFA" w:rsidRPr="000A5F83" w:rsidRDefault="00404CFA" w:rsidP="00B51628">
            <w:pPr>
              <w:spacing w:before="120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Prepare: (a) the </w:t>
            </w:r>
            <w:r w:rsidRPr="003F1308">
              <w:rPr>
                <w:b/>
                <w:bCs/>
                <w:snapToGrid w:val="0"/>
                <w:color w:val="000000"/>
                <w:sz w:val="22"/>
                <w:szCs w:val="22"/>
                <w:lang w:val="en-CA"/>
              </w:rPr>
              <w:t xml:space="preserve">Global Baseline Strategy (Element 1) 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CA"/>
              </w:rPr>
              <w:t xml:space="preserve">2013 implementation </w:t>
            </w:r>
            <w:r w:rsidRPr="003F1308">
              <w:rPr>
                <w:b/>
                <w:bCs/>
                <w:snapToGrid w:val="0"/>
                <w:color w:val="000000"/>
                <w:sz w:val="22"/>
                <w:szCs w:val="22"/>
                <w:lang w:val="en-CA"/>
              </w:rPr>
              <w:t>results summary;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CA"/>
              </w:rPr>
              <w:t xml:space="preserve"> (b) </w:t>
            </w:r>
            <w:r w:rsidRPr="003F1308">
              <w:rPr>
                <w:b/>
                <w:bCs/>
                <w:snapToGrid w:val="0"/>
                <w:color w:val="000000"/>
                <w:sz w:val="22"/>
                <w:szCs w:val="22"/>
                <w:lang w:val="en-CA"/>
              </w:rPr>
              <w:t>Global Baseline Strategy Implementation Plan for 2014; and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CA"/>
              </w:rPr>
              <w:t xml:space="preserve">, (c) the </w:t>
            </w:r>
            <w:r w:rsidRPr="003F1308">
              <w:rPr>
                <w:b/>
                <w:bCs/>
                <w:snapToGrid w:val="0"/>
                <w:color w:val="000000"/>
                <w:sz w:val="22"/>
                <w:szCs w:val="22"/>
                <w:lang w:val="en-CA"/>
              </w:rPr>
              <w:t>GFOI Space Data Services (Element 2) Strategy and Implementation Plan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for endorsement by SIT-29.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FF4B03" w14:textId="77777777" w:rsidR="00404CFA" w:rsidRDefault="00404CFA" w:rsidP="00B5162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napToGrid w:val="0"/>
                <w:color w:val="000000"/>
                <w:sz w:val="22"/>
                <w:szCs w:val="22"/>
              </w:rPr>
              <w:t>A</w:t>
            </w:r>
            <w:r w:rsidRPr="001668AE">
              <w:rPr>
                <w:b/>
                <w:bCs/>
                <w:i/>
                <w:snapToGrid w:val="0"/>
                <w:color w:val="000000"/>
                <w:sz w:val="22"/>
                <w:szCs w:val="22"/>
              </w:rPr>
              <w:t>d hoc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SDCG for GFOI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91D67B" w14:textId="77777777" w:rsidR="00404CFA" w:rsidRDefault="00404CFA" w:rsidP="00B5162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SIT-29</w:t>
            </w:r>
          </w:p>
          <w:p w14:paraId="587A80E4" w14:textId="77777777" w:rsidR="00CB0E8C" w:rsidRDefault="00CB0E8C" w:rsidP="00B5162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COMPLETE</w:t>
            </w:r>
          </w:p>
          <w:p w14:paraId="1EED8EA1" w14:textId="175E456A" w:rsidR="002E0EBF" w:rsidRPr="004E212F" w:rsidRDefault="002E0EBF" w:rsidP="00B5162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AU"/>
              </w:rPr>
              <w:t>Agenda item 14.</w:t>
            </w:r>
          </w:p>
        </w:tc>
      </w:tr>
      <w:tr w:rsidR="00404CFA" w:rsidRPr="004E212F" w14:paraId="5C4AF7EB" w14:textId="77777777" w:rsidTr="00B5162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04CF" w14:textId="77777777" w:rsidR="00404CFA" w:rsidRPr="004E212F" w:rsidRDefault="00404CFA" w:rsidP="00B51628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27-17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2E8C" w14:textId="77777777" w:rsidR="00404CFA" w:rsidRPr="00C40285" w:rsidRDefault="00404CFA" w:rsidP="00B51628">
            <w:pPr>
              <w:spacing w:before="120"/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C</w:t>
            </w:r>
            <w:r w:rsidRPr="005B4701"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oordinate implementation of the 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CEOS Acquisition S</w:t>
            </w:r>
            <w:r w:rsidRPr="005B4701"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trategy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for GEOGLAM Phase 1, provide a progress report on implementation, and recommended a way forward.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974A" w14:textId="77777777" w:rsidR="00404CFA" w:rsidRDefault="00404CFA" w:rsidP="00B5162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napToGrid w:val="0"/>
                <w:color w:val="000000"/>
                <w:sz w:val="22"/>
                <w:szCs w:val="22"/>
                <w:lang w:val="en-AU"/>
              </w:rPr>
              <w:t>A</w:t>
            </w:r>
            <w:r w:rsidRPr="00F12D34">
              <w:rPr>
                <w:b/>
                <w:bCs/>
                <w:i/>
                <w:snapToGrid w:val="0"/>
                <w:color w:val="000000"/>
                <w:sz w:val="22"/>
                <w:szCs w:val="22"/>
                <w:lang w:val="en-AU"/>
              </w:rPr>
              <w:t>d hoc</w:t>
            </w:r>
            <w:r w:rsidRPr="005B4701"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Working Group 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on GEOGLAM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C1A2" w14:textId="77777777" w:rsidR="00404CFA" w:rsidRDefault="00404CFA" w:rsidP="00B5162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SIT-29</w:t>
            </w:r>
          </w:p>
          <w:p w14:paraId="2A2EB10D" w14:textId="4A6B999E" w:rsidR="004B2D80" w:rsidRPr="004E212F" w:rsidRDefault="004B2D80" w:rsidP="00B5162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AU"/>
              </w:rPr>
              <w:t>Agenda item 15.</w:t>
            </w:r>
          </w:p>
        </w:tc>
      </w:tr>
      <w:tr w:rsidR="00404CFA" w:rsidRPr="004E212F" w14:paraId="6A2D0653" w14:textId="77777777" w:rsidTr="00B5162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D50D" w14:textId="77777777" w:rsidR="00404CFA" w:rsidRPr="004E212F" w:rsidRDefault="00404CFA" w:rsidP="00B51628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27-18 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3608" w14:textId="77777777" w:rsidR="00404CFA" w:rsidRPr="00636729" w:rsidRDefault="00404CFA" w:rsidP="00B51628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Make a recommendation on the optimal process within CEOS for approval of new Supersites.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905F" w14:textId="77777777" w:rsidR="00404CFA" w:rsidRDefault="00404CFA" w:rsidP="00B5162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WGDisasters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20D4" w14:textId="77777777" w:rsidR="00404CFA" w:rsidRDefault="00404CFA" w:rsidP="00B5162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SIT-29</w:t>
            </w:r>
          </w:p>
          <w:p w14:paraId="0AD36096" w14:textId="07156B81" w:rsidR="004D589B" w:rsidRPr="004E212F" w:rsidRDefault="004D589B" w:rsidP="00B5162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AU"/>
              </w:rPr>
              <w:t>Agenda item 18.</w:t>
            </w:r>
          </w:p>
        </w:tc>
      </w:tr>
    </w:tbl>
    <w:p w14:paraId="52850332" w14:textId="77777777" w:rsidR="00404CFA" w:rsidRPr="00404CFA" w:rsidRDefault="00404CFA" w:rsidP="00404CFA">
      <w:pPr>
        <w:tabs>
          <w:tab w:val="left" w:pos="1027"/>
        </w:tabs>
      </w:pPr>
    </w:p>
    <w:sectPr w:rsidR="00404CFA" w:rsidRPr="00404CFA" w:rsidSect="009171C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3B"/>
    <w:rsid w:val="000277E4"/>
    <w:rsid w:val="00056F84"/>
    <w:rsid w:val="002D63C5"/>
    <w:rsid w:val="002E0EBF"/>
    <w:rsid w:val="002F0B3C"/>
    <w:rsid w:val="00302D04"/>
    <w:rsid w:val="00367968"/>
    <w:rsid w:val="00397D5C"/>
    <w:rsid w:val="003D27FC"/>
    <w:rsid w:val="003E3EB0"/>
    <w:rsid w:val="00404CFA"/>
    <w:rsid w:val="00410201"/>
    <w:rsid w:val="00446968"/>
    <w:rsid w:val="00450D7F"/>
    <w:rsid w:val="00481A74"/>
    <w:rsid w:val="004B2D80"/>
    <w:rsid w:val="004D567F"/>
    <w:rsid w:val="004D589B"/>
    <w:rsid w:val="004E60E6"/>
    <w:rsid w:val="0056537D"/>
    <w:rsid w:val="00576EEB"/>
    <w:rsid w:val="005A4542"/>
    <w:rsid w:val="005E363B"/>
    <w:rsid w:val="005E49CE"/>
    <w:rsid w:val="006209AE"/>
    <w:rsid w:val="00695D5C"/>
    <w:rsid w:val="006F7335"/>
    <w:rsid w:val="00757474"/>
    <w:rsid w:val="00767F5B"/>
    <w:rsid w:val="007A75C7"/>
    <w:rsid w:val="00824BBC"/>
    <w:rsid w:val="00896DEA"/>
    <w:rsid w:val="008A7057"/>
    <w:rsid w:val="008C6A48"/>
    <w:rsid w:val="008D72A7"/>
    <w:rsid w:val="009171CC"/>
    <w:rsid w:val="00A75042"/>
    <w:rsid w:val="00AA10C9"/>
    <w:rsid w:val="00B017F2"/>
    <w:rsid w:val="00B50949"/>
    <w:rsid w:val="00B51628"/>
    <w:rsid w:val="00B56CE5"/>
    <w:rsid w:val="00BC47B3"/>
    <w:rsid w:val="00CB0E8C"/>
    <w:rsid w:val="00D45A1B"/>
    <w:rsid w:val="00D779EB"/>
    <w:rsid w:val="00DC60A9"/>
    <w:rsid w:val="00EF15B5"/>
    <w:rsid w:val="00F21870"/>
    <w:rsid w:val="00F25B2A"/>
    <w:rsid w:val="00FB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A542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Style8ptBoldCentered9ptBold">
    <w:name w:val="Style Style 8 pt Bold Centered + 9 pt Bold"/>
    <w:basedOn w:val="Normal"/>
    <w:rsid w:val="00404CFA"/>
    <w:pPr>
      <w:spacing w:before="40" w:after="40"/>
      <w:jc w:val="center"/>
    </w:pPr>
    <w:rPr>
      <w:rFonts w:ascii="Arial" w:eastAsia="Times New Roman" w:hAnsi="Arial" w:cs="Times New Roman"/>
      <w:b/>
      <w:bCs/>
      <w:sz w:val="18"/>
      <w:szCs w:val="20"/>
    </w:rPr>
  </w:style>
  <w:style w:type="character" w:styleId="Hyperlink">
    <w:name w:val="Hyperlink"/>
    <w:uiPriority w:val="99"/>
    <w:unhideWhenUsed/>
    <w:rsid w:val="00404CF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6F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F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F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F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F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F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F84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3E3E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Style8ptBoldCentered9ptBold">
    <w:name w:val="Style Style 8 pt Bold Centered + 9 pt Bold"/>
    <w:basedOn w:val="Normal"/>
    <w:rsid w:val="00404CFA"/>
    <w:pPr>
      <w:spacing w:before="40" w:after="40"/>
      <w:jc w:val="center"/>
    </w:pPr>
    <w:rPr>
      <w:rFonts w:ascii="Arial" w:eastAsia="Times New Roman" w:hAnsi="Arial" w:cs="Times New Roman"/>
      <w:b/>
      <w:bCs/>
      <w:sz w:val="18"/>
      <w:szCs w:val="20"/>
    </w:rPr>
  </w:style>
  <w:style w:type="character" w:styleId="Hyperlink">
    <w:name w:val="Hyperlink"/>
    <w:uiPriority w:val="99"/>
    <w:unhideWhenUsed/>
    <w:rsid w:val="00404CF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6F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F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F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F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F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F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F84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3E3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473</Words>
  <Characters>2702</Characters>
  <Application>Microsoft Macintosh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Steventon</dc:creator>
  <cp:keywords/>
  <dc:description/>
  <cp:lastModifiedBy>George Dyke</cp:lastModifiedBy>
  <cp:revision>35</cp:revision>
  <dcterms:created xsi:type="dcterms:W3CDTF">2014-03-30T08:26:00Z</dcterms:created>
  <dcterms:modified xsi:type="dcterms:W3CDTF">2014-04-01T02:14:00Z</dcterms:modified>
</cp:coreProperties>
</file>