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Override PartName="/word/footer6.xml" ContentType="application/vnd.openxmlformats-officedocument.wordprocessingml.footer+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Default Extension="tiff" ContentType="image/tiff"/>
  <Default Extension="gif" ContentType="image/gif"/>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7338" w:rsidRDefault="006251B7" w:rsidP="00787338">
      <w:r>
        <w:rPr>
          <w:noProof/>
          <w:lang w:val="en-US" w:eastAsia="en-US"/>
        </w:rPr>
        <w:drawing>
          <wp:anchor distT="0" distB="0" distL="114300" distR="114300" simplePos="0" relativeHeight="251658240" behindDoc="0" locked="0" layoutInCell="1" allowOverlap="1">
            <wp:simplePos x="0" y="0"/>
            <wp:positionH relativeFrom="column">
              <wp:posOffset>-722381</wp:posOffset>
            </wp:positionH>
            <wp:positionV relativeFrom="paragraph">
              <wp:posOffset>-709625</wp:posOffset>
            </wp:positionV>
            <wp:extent cx="7572613" cy="10709452"/>
            <wp:effectExtent l="19050" t="0" r="9287" b="0"/>
            <wp:wrapNone/>
            <wp:docPr id="10" name="Picture 9" descr="Cover_Page_1.0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_Page_1.02.wmf"/>
                    <pic:cNvPicPr/>
                  </pic:nvPicPr>
                  <pic:blipFill>
                    <a:blip r:embed="rId8"/>
                    <a:stretch>
                      <a:fillRect/>
                    </a:stretch>
                  </pic:blipFill>
                  <pic:spPr>
                    <a:xfrm>
                      <a:off x="0" y="0"/>
                      <a:ext cx="7572613" cy="10709452"/>
                    </a:xfrm>
                    <a:prstGeom prst="rect">
                      <a:avLst/>
                    </a:prstGeom>
                  </pic:spPr>
                </pic:pic>
              </a:graphicData>
            </a:graphic>
          </wp:anchor>
        </w:drawing>
      </w:r>
    </w:p>
    <w:p w:rsidR="001D6B3E" w:rsidRDefault="001D6B3E" w:rsidP="00787338"/>
    <w:p w:rsidR="001D6B3E" w:rsidRDefault="001D6B3E" w:rsidP="00787338"/>
    <w:p w:rsidR="004B08F3" w:rsidRPr="004B08F3" w:rsidRDefault="004B08F3" w:rsidP="004B08F3">
      <w:pPr>
        <w:tabs>
          <w:tab w:val="left" w:pos="5609"/>
        </w:tabs>
      </w:pPr>
    </w:p>
    <w:p w:rsidR="004B08F3" w:rsidRPr="004B08F3" w:rsidRDefault="004B08F3" w:rsidP="004C34AA">
      <w:pPr>
        <w:jc w:val="center"/>
      </w:pPr>
    </w:p>
    <w:p w:rsidR="009618B3" w:rsidRDefault="009618B3" w:rsidP="001D6B3E">
      <w:pPr>
        <w:jc w:val="center"/>
        <w:rPr>
          <w:i/>
          <w:iCs/>
          <w:sz w:val="21"/>
          <w:szCs w:val="21"/>
        </w:rPr>
      </w:pPr>
    </w:p>
    <w:p w:rsidR="009618B3" w:rsidRDefault="009618B3" w:rsidP="009618B3">
      <w:pPr>
        <w:jc w:val="center"/>
        <w:rPr>
          <w:i/>
          <w:iCs/>
          <w:sz w:val="21"/>
          <w:szCs w:val="21"/>
        </w:rPr>
      </w:pPr>
    </w:p>
    <w:p w:rsidR="00A943B2" w:rsidRDefault="00A943B2" w:rsidP="00F92853">
      <w:pPr>
        <w:pageBreakBefore/>
      </w:pPr>
    </w:p>
    <w:p w:rsidR="00A943B2" w:rsidRDefault="00A943B2" w:rsidP="00F444B7">
      <w:pPr>
        <w:pStyle w:val="VersoPageHeading"/>
      </w:pPr>
      <w:r>
        <w:t>Citation</w:t>
      </w:r>
    </w:p>
    <w:p w:rsidR="00A943B2" w:rsidRPr="00A979D9" w:rsidRDefault="001D6B3E" w:rsidP="005A6C20">
      <w:pPr>
        <w:rPr>
          <w:color w:val="FF0000"/>
        </w:rPr>
      </w:pPr>
      <w:r w:rsidRPr="00A979D9">
        <w:rPr>
          <w:color w:val="FF0000"/>
        </w:rPr>
        <w:t>TBD (2016)</w:t>
      </w:r>
    </w:p>
    <w:p w:rsidR="00A943B2" w:rsidRDefault="00A943B2" w:rsidP="00F444B7">
      <w:pPr>
        <w:pStyle w:val="VersoPageHeading"/>
      </w:pPr>
      <w:r>
        <w:t>Important disclaimer</w:t>
      </w:r>
    </w:p>
    <w:p w:rsidR="00A943B2" w:rsidRPr="00A979D9" w:rsidRDefault="001D6B3E" w:rsidP="005A6C20">
      <w:pPr>
        <w:rPr>
          <w:color w:val="FF0000"/>
        </w:rPr>
      </w:pPr>
      <w:r w:rsidRPr="00A979D9">
        <w:rPr>
          <w:color w:val="FF0000"/>
        </w:rPr>
        <w:t>TBD if applicable</w:t>
      </w:r>
    </w:p>
    <w:p w:rsidR="00285138" w:rsidRDefault="00285138" w:rsidP="00285138">
      <w:pPr>
        <w:pStyle w:val="VersoPageHeading"/>
      </w:pPr>
      <w:r>
        <w:t>Cover Image Himawari-8</w:t>
      </w:r>
    </w:p>
    <w:p w:rsidR="00285138" w:rsidRPr="00A979D9" w:rsidRDefault="00A979D9" w:rsidP="00A979D9">
      <w:pPr>
        <w:jc w:val="left"/>
        <w:rPr>
          <w:color w:val="FF0000"/>
        </w:rPr>
        <w:sectPr w:rsidR="00285138" w:rsidRPr="00A979D9" w:rsidSect="00071B54">
          <w:footerReference w:type="default" r:id="rId9"/>
          <w:headerReference w:type="first" r:id="rId10"/>
          <w:footerReference w:type="first" r:id="rId11"/>
          <w:type w:val="continuous"/>
          <w:pgSz w:w="11906" w:h="16838" w:code="9"/>
          <w:pgMar w:top="1106" w:right="1134" w:bottom="1134" w:left="1134" w:header="510" w:footer="624" w:gutter="0"/>
          <w:pgNumType w:fmt="lowerRoman" w:start="1"/>
          <w:cols w:space="284"/>
          <w:titlePg/>
          <w:docGrid w:linePitch="360"/>
        </w:sectPr>
      </w:pPr>
      <w:r w:rsidRPr="00A979D9">
        <w:rPr>
          <w:color w:val="FF0000"/>
        </w:rPr>
        <w:t>TBD acknowledgement</w:t>
      </w:r>
      <w:r>
        <w:rPr>
          <w:color w:val="FF0000"/>
        </w:rPr>
        <w:t xml:space="preserve"> JAXA/JMA</w:t>
      </w:r>
    </w:p>
    <w:p w:rsidR="00A943B2" w:rsidRDefault="00A943B2">
      <w:pPr>
        <w:spacing w:after="200"/>
        <w:sectPr w:rsidR="00A943B2" w:rsidSect="00071B54">
          <w:footerReference w:type="default" r:id="rId12"/>
          <w:headerReference w:type="first" r:id="rId13"/>
          <w:footerReference w:type="first" r:id="rId14"/>
          <w:type w:val="continuous"/>
          <w:pgSz w:w="11906" w:h="16838" w:code="9"/>
          <w:pgMar w:top="1106" w:right="1134" w:bottom="1134" w:left="1134" w:header="510" w:footer="624" w:gutter="0"/>
          <w:pgNumType w:fmt="lowerRoman" w:start="1"/>
          <w:cols w:space="284"/>
          <w:titlePg/>
          <w:docGrid w:linePitch="360"/>
        </w:sectPr>
      </w:pPr>
    </w:p>
    <w:p w:rsidR="00A943B2" w:rsidRDefault="00A943B2" w:rsidP="001D36DC">
      <w:pPr>
        <w:pStyle w:val="Heading1noTOC"/>
      </w:pPr>
      <w:r w:rsidRPr="00890BD7">
        <w:lastRenderedPageBreak/>
        <w:t>Contents</w:t>
      </w:r>
    </w:p>
    <w:p w:rsidR="00E44CE8" w:rsidRDefault="00E27A82">
      <w:pPr>
        <w:pStyle w:val="TOC2"/>
        <w:rPr>
          <w:rFonts w:asciiTheme="minorHAnsi" w:eastAsiaTheme="minorEastAsia" w:hAnsiTheme="minorHAnsi" w:cstheme="minorBidi"/>
          <w:noProof/>
          <w:color w:val="auto"/>
          <w:lang w:val="en-US" w:eastAsia="en-US"/>
        </w:rPr>
      </w:pPr>
      <w:r>
        <w:rPr>
          <w:b/>
          <w:noProof/>
          <w:color w:val="FFFFFF"/>
          <w:spacing w:val="-7"/>
        </w:rPr>
        <w:fldChar w:fldCharType="begin"/>
      </w:r>
      <w:r w:rsidR="00462182">
        <w:rPr>
          <w:b/>
          <w:noProof/>
          <w:color w:val="FFFFFF"/>
          <w:spacing w:val="-7"/>
        </w:rPr>
        <w:instrText xml:space="preserve"> TOC \h \z \t "Heading 1,2,Heading 2,3,PartTitle,1,Heading 1 Numbered,2,Heading 1 not numbered,2,Heading 2 not numbered,3,Appendix Heading 1,2" </w:instrText>
      </w:r>
      <w:r>
        <w:rPr>
          <w:b/>
          <w:noProof/>
          <w:color w:val="FFFFFF"/>
          <w:spacing w:val="-7"/>
        </w:rPr>
        <w:fldChar w:fldCharType="separate"/>
      </w:r>
      <w:hyperlink w:anchor="_Toc460923827" w:history="1">
        <w:r w:rsidR="00E44CE8" w:rsidRPr="00303747">
          <w:rPr>
            <w:rStyle w:val="Hyperlink"/>
            <w:noProof/>
          </w:rPr>
          <w:t>1</w:t>
        </w:r>
        <w:r w:rsidR="00E44CE8">
          <w:rPr>
            <w:rFonts w:asciiTheme="minorHAnsi" w:eastAsiaTheme="minorEastAsia" w:hAnsiTheme="minorHAnsi" w:cstheme="minorBidi"/>
            <w:noProof/>
            <w:color w:val="auto"/>
            <w:lang w:val="en-US" w:eastAsia="en-US"/>
          </w:rPr>
          <w:tab/>
        </w:r>
        <w:r w:rsidR="00E44CE8" w:rsidRPr="00303747">
          <w:rPr>
            <w:rStyle w:val="Hyperlink"/>
            <w:noProof/>
          </w:rPr>
          <w:t>Introduction</w:t>
        </w:r>
        <w:r w:rsidR="00E44CE8">
          <w:rPr>
            <w:noProof/>
            <w:webHidden/>
          </w:rPr>
          <w:tab/>
        </w:r>
        <w:r w:rsidR="00E44CE8">
          <w:rPr>
            <w:noProof/>
            <w:webHidden/>
          </w:rPr>
          <w:fldChar w:fldCharType="begin"/>
        </w:r>
        <w:r w:rsidR="00E44CE8">
          <w:rPr>
            <w:noProof/>
            <w:webHidden/>
          </w:rPr>
          <w:instrText xml:space="preserve"> PAGEREF _Toc460923827 \h </w:instrText>
        </w:r>
        <w:r w:rsidR="00E44CE8">
          <w:rPr>
            <w:noProof/>
            <w:webHidden/>
          </w:rPr>
        </w:r>
        <w:r w:rsidR="00E44CE8">
          <w:rPr>
            <w:noProof/>
            <w:webHidden/>
          </w:rPr>
          <w:fldChar w:fldCharType="separate"/>
        </w:r>
        <w:r w:rsidR="00ED66C2">
          <w:rPr>
            <w:noProof/>
            <w:webHidden/>
          </w:rPr>
          <w:t>6</w:t>
        </w:r>
        <w:r w:rsidR="00E44CE8">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28" w:history="1">
        <w:r w:rsidRPr="00303747">
          <w:rPr>
            <w:rStyle w:val="Hyperlink"/>
            <w:noProof/>
          </w:rPr>
          <w:t>1.1</w:t>
        </w:r>
        <w:r>
          <w:rPr>
            <w:rFonts w:asciiTheme="minorHAnsi" w:eastAsiaTheme="minorEastAsia" w:hAnsiTheme="minorHAnsi" w:cstheme="minorBidi"/>
            <w:noProof/>
            <w:color w:val="auto"/>
            <w:lang w:val="en-US" w:eastAsia="en-US"/>
          </w:rPr>
          <w:tab/>
        </w:r>
        <w:r w:rsidRPr="00303747">
          <w:rPr>
            <w:rStyle w:val="Hyperlink"/>
            <w:noProof/>
          </w:rPr>
          <w:t>Overview</w:t>
        </w:r>
        <w:r>
          <w:rPr>
            <w:noProof/>
            <w:webHidden/>
          </w:rPr>
          <w:tab/>
        </w:r>
        <w:r>
          <w:rPr>
            <w:noProof/>
            <w:webHidden/>
          </w:rPr>
          <w:fldChar w:fldCharType="begin"/>
        </w:r>
        <w:r>
          <w:rPr>
            <w:noProof/>
            <w:webHidden/>
          </w:rPr>
          <w:instrText xml:space="preserve"> PAGEREF _Toc460923828 \h </w:instrText>
        </w:r>
        <w:r>
          <w:rPr>
            <w:noProof/>
            <w:webHidden/>
          </w:rPr>
        </w:r>
        <w:r>
          <w:rPr>
            <w:noProof/>
            <w:webHidden/>
          </w:rPr>
          <w:fldChar w:fldCharType="separate"/>
        </w:r>
        <w:r w:rsidR="00ED66C2">
          <w:rPr>
            <w:noProof/>
            <w:webHidden/>
          </w:rPr>
          <w:t>6</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29" w:history="1">
        <w:r w:rsidRPr="00303747">
          <w:rPr>
            <w:rStyle w:val="Hyperlink"/>
            <w:noProof/>
          </w:rPr>
          <w:t>1.2</w:t>
        </w:r>
        <w:r>
          <w:rPr>
            <w:rFonts w:asciiTheme="minorHAnsi" w:eastAsiaTheme="minorEastAsia" w:hAnsiTheme="minorHAnsi" w:cstheme="minorBidi"/>
            <w:noProof/>
            <w:color w:val="auto"/>
            <w:lang w:val="en-US" w:eastAsia="en-US"/>
          </w:rPr>
          <w:tab/>
        </w:r>
        <w:r w:rsidRPr="00303747">
          <w:rPr>
            <w:rStyle w:val="Hyperlink"/>
            <w:noProof/>
          </w:rPr>
          <w:t>Context</w:t>
        </w:r>
        <w:r>
          <w:rPr>
            <w:noProof/>
            <w:webHidden/>
          </w:rPr>
          <w:tab/>
        </w:r>
        <w:r>
          <w:rPr>
            <w:noProof/>
            <w:webHidden/>
          </w:rPr>
          <w:fldChar w:fldCharType="begin"/>
        </w:r>
        <w:r>
          <w:rPr>
            <w:noProof/>
            <w:webHidden/>
          </w:rPr>
          <w:instrText xml:space="preserve"> PAGEREF _Toc460923829 \h </w:instrText>
        </w:r>
        <w:r>
          <w:rPr>
            <w:noProof/>
            <w:webHidden/>
          </w:rPr>
        </w:r>
        <w:r>
          <w:rPr>
            <w:noProof/>
            <w:webHidden/>
          </w:rPr>
          <w:fldChar w:fldCharType="separate"/>
        </w:r>
        <w:r w:rsidR="00ED66C2">
          <w:rPr>
            <w:noProof/>
            <w:webHidden/>
          </w:rPr>
          <w:t>6</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30" w:history="1">
        <w:r w:rsidRPr="00303747">
          <w:rPr>
            <w:rStyle w:val="Hyperlink"/>
            <w:noProof/>
          </w:rPr>
          <w:t>1.3</w:t>
        </w:r>
        <w:r>
          <w:rPr>
            <w:rFonts w:asciiTheme="minorHAnsi" w:eastAsiaTheme="minorEastAsia" w:hAnsiTheme="minorHAnsi" w:cstheme="minorBidi"/>
            <w:noProof/>
            <w:color w:val="auto"/>
            <w:lang w:val="en-US" w:eastAsia="en-US"/>
          </w:rPr>
          <w:tab/>
        </w:r>
        <w:r w:rsidRPr="00303747">
          <w:rPr>
            <w:rStyle w:val="Hyperlink"/>
            <w:noProof/>
          </w:rPr>
          <w:t>Purpose</w:t>
        </w:r>
        <w:r>
          <w:rPr>
            <w:noProof/>
            <w:webHidden/>
          </w:rPr>
          <w:tab/>
        </w:r>
        <w:r>
          <w:rPr>
            <w:noProof/>
            <w:webHidden/>
          </w:rPr>
          <w:fldChar w:fldCharType="begin"/>
        </w:r>
        <w:r>
          <w:rPr>
            <w:noProof/>
            <w:webHidden/>
          </w:rPr>
          <w:instrText xml:space="preserve"> PAGEREF _Toc460923830 \h </w:instrText>
        </w:r>
        <w:r>
          <w:rPr>
            <w:noProof/>
            <w:webHidden/>
          </w:rPr>
        </w:r>
        <w:r>
          <w:rPr>
            <w:noProof/>
            <w:webHidden/>
          </w:rPr>
          <w:fldChar w:fldCharType="separate"/>
        </w:r>
        <w:r w:rsidR="00ED66C2">
          <w:rPr>
            <w:noProof/>
            <w:webHidden/>
          </w:rPr>
          <w:t>8</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31" w:history="1">
        <w:r w:rsidRPr="00303747">
          <w:rPr>
            <w:rStyle w:val="Hyperlink"/>
            <w:noProof/>
          </w:rPr>
          <w:t>1.4</w:t>
        </w:r>
        <w:r>
          <w:rPr>
            <w:rFonts w:asciiTheme="minorHAnsi" w:eastAsiaTheme="minorEastAsia" w:hAnsiTheme="minorHAnsi" w:cstheme="minorBidi"/>
            <w:noProof/>
            <w:color w:val="auto"/>
            <w:lang w:val="en-US" w:eastAsia="en-US"/>
          </w:rPr>
          <w:tab/>
        </w:r>
        <w:r w:rsidRPr="00303747">
          <w:rPr>
            <w:rStyle w:val="Hyperlink"/>
            <w:noProof/>
          </w:rPr>
          <w:t>Structure of the report</w:t>
        </w:r>
        <w:r>
          <w:rPr>
            <w:noProof/>
            <w:webHidden/>
          </w:rPr>
          <w:tab/>
        </w:r>
        <w:r>
          <w:rPr>
            <w:noProof/>
            <w:webHidden/>
          </w:rPr>
          <w:fldChar w:fldCharType="begin"/>
        </w:r>
        <w:r>
          <w:rPr>
            <w:noProof/>
            <w:webHidden/>
          </w:rPr>
          <w:instrText xml:space="preserve"> PAGEREF _Toc460923831 \h </w:instrText>
        </w:r>
        <w:r>
          <w:rPr>
            <w:noProof/>
            <w:webHidden/>
          </w:rPr>
        </w:r>
        <w:r>
          <w:rPr>
            <w:noProof/>
            <w:webHidden/>
          </w:rPr>
          <w:fldChar w:fldCharType="separate"/>
        </w:r>
        <w:r w:rsidR="00ED66C2">
          <w:rPr>
            <w:noProof/>
            <w:webHidden/>
          </w:rPr>
          <w:t>8</w:t>
        </w:r>
        <w:r>
          <w:rPr>
            <w:noProof/>
            <w:webHidden/>
          </w:rPr>
          <w:fldChar w:fldCharType="end"/>
        </w:r>
      </w:hyperlink>
    </w:p>
    <w:p w:rsidR="00E44CE8" w:rsidRDefault="00E44CE8">
      <w:pPr>
        <w:pStyle w:val="TOC2"/>
        <w:rPr>
          <w:rFonts w:asciiTheme="minorHAnsi" w:eastAsiaTheme="minorEastAsia" w:hAnsiTheme="minorHAnsi" w:cstheme="minorBidi"/>
          <w:noProof/>
          <w:color w:val="auto"/>
          <w:lang w:val="en-US" w:eastAsia="en-US"/>
        </w:rPr>
      </w:pPr>
      <w:hyperlink w:anchor="_Toc460923832" w:history="1">
        <w:r w:rsidRPr="00303747">
          <w:rPr>
            <w:rStyle w:val="Hyperlink"/>
            <w:noProof/>
          </w:rPr>
          <w:t>2</w:t>
        </w:r>
        <w:r>
          <w:rPr>
            <w:rFonts w:asciiTheme="minorHAnsi" w:eastAsiaTheme="minorEastAsia" w:hAnsiTheme="minorHAnsi" w:cstheme="minorBidi"/>
            <w:noProof/>
            <w:color w:val="auto"/>
            <w:lang w:val="en-US" w:eastAsia="en-US"/>
          </w:rPr>
          <w:tab/>
        </w:r>
        <w:r w:rsidRPr="00303747">
          <w:rPr>
            <w:rStyle w:val="Hyperlink"/>
            <w:noProof/>
          </w:rPr>
          <w:t>Trends and Outlook for Geostationary EO Satellite Capabilities</w:t>
        </w:r>
        <w:r>
          <w:rPr>
            <w:noProof/>
            <w:webHidden/>
          </w:rPr>
          <w:tab/>
        </w:r>
        <w:r>
          <w:rPr>
            <w:noProof/>
            <w:webHidden/>
          </w:rPr>
          <w:fldChar w:fldCharType="begin"/>
        </w:r>
        <w:r>
          <w:rPr>
            <w:noProof/>
            <w:webHidden/>
          </w:rPr>
          <w:instrText xml:space="preserve"> PAGEREF _Toc460923832 \h </w:instrText>
        </w:r>
        <w:r>
          <w:rPr>
            <w:noProof/>
            <w:webHidden/>
          </w:rPr>
        </w:r>
        <w:r>
          <w:rPr>
            <w:noProof/>
            <w:webHidden/>
          </w:rPr>
          <w:fldChar w:fldCharType="separate"/>
        </w:r>
        <w:r w:rsidR="00ED66C2">
          <w:rPr>
            <w:noProof/>
            <w:webHidden/>
          </w:rPr>
          <w:t>9</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33" w:history="1">
        <w:r w:rsidRPr="00303747">
          <w:rPr>
            <w:rStyle w:val="Hyperlink"/>
            <w:noProof/>
          </w:rPr>
          <w:t>2.1</w:t>
        </w:r>
        <w:r>
          <w:rPr>
            <w:rFonts w:asciiTheme="minorHAnsi" w:eastAsiaTheme="minorEastAsia" w:hAnsiTheme="minorHAnsi" w:cstheme="minorBidi"/>
            <w:noProof/>
            <w:color w:val="auto"/>
            <w:lang w:val="en-US" w:eastAsia="en-US"/>
          </w:rPr>
          <w:tab/>
        </w:r>
        <w:r w:rsidRPr="00303747">
          <w:rPr>
            <w:rStyle w:val="Hyperlink"/>
            <w:noProof/>
          </w:rPr>
          <w:t>Retrospect</w:t>
        </w:r>
        <w:r>
          <w:rPr>
            <w:noProof/>
            <w:webHidden/>
          </w:rPr>
          <w:tab/>
        </w:r>
        <w:r>
          <w:rPr>
            <w:noProof/>
            <w:webHidden/>
          </w:rPr>
          <w:fldChar w:fldCharType="begin"/>
        </w:r>
        <w:r>
          <w:rPr>
            <w:noProof/>
            <w:webHidden/>
          </w:rPr>
          <w:instrText xml:space="preserve"> PAGEREF _Toc460923833 \h </w:instrText>
        </w:r>
        <w:r>
          <w:rPr>
            <w:noProof/>
            <w:webHidden/>
          </w:rPr>
        </w:r>
        <w:r>
          <w:rPr>
            <w:noProof/>
            <w:webHidden/>
          </w:rPr>
          <w:fldChar w:fldCharType="separate"/>
        </w:r>
        <w:r w:rsidR="00ED66C2">
          <w:rPr>
            <w:noProof/>
            <w:webHidden/>
          </w:rPr>
          <w:t>9</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34" w:history="1">
        <w:r w:rsidRPr="00303747">
          <w:rPr>
            <w:rStyle w:val="Hyperlink"/>
            <w:noProof/>
          </w:rPr>
          <w:t>2.2</w:t>
        </w:r>
        <w:r>
          <w:rPr>
            <w:rFonts w:asciiTheme="minorHAnsi" w:eastAsiaTheme="minorEastAsia" w:hAnsiTheme="minorHAnsi" w:cstheme="minorBidi"/>
            <w:noProof/>
            <w:color w:val="auto"/>
            <w:lang w:val="en-US" w:eastAsia="en-US"/>
          </w:rPr>
          <w:tab/>
        </w:r>
        <w:r w:rsidRPr="00303747">
          <w:rPr>
            <w:rStyle w:val="Hyperlink"/>
            <w:noProof/>
          </w:rPr>
          <w:t>The Next Generation of Geostationary Weather Satellites</w:t>
        </w:r>
        <w:r>
          <w:rPr>
            <w:noProof/>
            <w:webHidden/>
          </w:rPr>
          <w:tab/>
        </w:r>
        <w:r>
          <w:rPr>
            <w:noProof/>
            <w:webHidden/>
          </w:rPr>
          <w:fldChar w:fldCharType="begin"/>
        </w:r>
        <w:r>
          <w:rPr>
            <w:noProof/>
            <w:webHidden/>
          </w:rPr>
          <w:instrText xml:space="preserve"> PAGEREF _Toc460923834 \h </w:instrText>
        </w:r>
        <w:r>
          <w:rPr>
            <w:noProof/>
            <w:webHidden/>
          </w:rPr>
        </w:r>
        <w:r>
          <w:rPr>
            <w:noProof/>
            <w:webHidden/>
          </w:rPr>
          <w:fldChar w:fldCharType="separate"/>
        </w:r>
        <w:r w:rsidR="00ED66C2">
          <w:rPr>
            <w:noProof/>
            <w:webHidden/>
          </w:rPr>
          <w:t>9</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35" w:history="1">
        <w:r w:rsidRPr="00303747">
          <w:rPr>
            <w:rStyle w:val="Hyperlink"/>
            <w:noProof/>
          </w:rPr>
          <w:t>2.3</w:t>
        </w:r>
        <w:r>
          <w:rPr>
            <w:rFonts w:asciiTheme="minorHAnsi" w:eastAsiaTheme="minorEastAsia" w:hAnsiTheme="minorHAnsi" w:cstheme="minorBidi"/>
            <w:noProof/>
            <w:color w:val="auto"/>
            <w:lang w:val="en-US" w:eastAsia="en-US"/>
          </w:rPr>
          <w:tab/>
        </w:r>
        <w:r w:rsidRPr="00303747">
          <w:rPr>
            <w:rStyle w:val="Hyperlink"/>
            <w:noProof/>
          </w:rPr>
          <w:t>Geostationary Satellite Missions with Unique Capabilities</w:t>
        </w:r>
        <w:r>
          <w:rPr>
            <w:noProof/>
            <w:webHidden/>
          </w:rPr>
          <w:tab/>
        </w:r>
        <w:r>
          <w:rPr>
            <w:noProof/>
            <w:webHidden/>
          </w:rPr>
          <w:fldChar w:fldCharType="begin"/>
        </w:r>
        <w:r>
          <w:rPr>
            <w:noProof/>
            <w:webHidden/>
          </w:rPr>
          <w:instrText xml:space="preserve"> PAGEREF _Toc460923835 \h </w:instrText>
        </w:r>
        <w:r>
          <w:rPr>
            <w:noProof/>
            <w:webHidden/>
          </w:rPr>
        </w:r>
        <w:r>
          <w:rPr>
            <w:noProof/>
            <w:webHidden/>
          </w:rPr>
          <w:fldChar w:fldCharType="separate"/>
        </w:r>
        <w:r w:rsidR="00ED66C2">
          <w:rPr>
            <w:noProof/>
            <w:webHidden/>
          </w:rPr>
          <w:t>17</w:t>
        </w:r>
        <w:r>
          <w:rPr>
            <w:noProof/>
            <w:webHidden/>
          </w:rPr>
          <w:fldChar w:fldCharType="end"/>
        </w:r>
      </w:hyperlink>
    </w:p>
    <w:p w:rsidR="00E44CE8" w:rsidRDefault="00E44CE8">
      <w:pPr>
        <w:pStyle w:val="TOC2"/>
        <w:rPr>
          <w:rFonts w:asciiTheme="minorHAnsi" w:eastAsiaTheme="minorEastAsia" w:hAnsiTheme="minorHAnsi" w:cstheme="minorBidi"/>
          <w:noProof/>
          <w:color w:val="auto"/>
          <w:lang w:val="en-US" w:eastAsia="en-US"/>
        </w:rPr>
      </w:pPr>
      <w:hyperlink w:anchor="_Toc460923836" w:history="1">
        <w:r w:rsidRPr="00303747">
          <w:rPr>
            <w:rStyle w:val="Hyperlink"/>
            <w:noProof/>
          </w:rPr>
          <w:t>3</w:t>
        </w:r>
        <w:r>
          <w:rPr>
            <w:rFonts w:asciiTheme="minorHAnsi" w:eastAsiaTheme="minorEastAsia" w:hAnsiTheme="minorHAnsi" w:cstheme="minorBidi"/>
            <w:noProof/>
            <w:color w:val="auto"/>
            <w:lang w:val="en-US" w:eastAsia="en-US"/>
          </w:rPr>
          <w:tab/>
        </w:r>
        <w:r w:rsidRPr="00303747">
          <w:rPr>
            <w:rStyle w:val="Hyperlink"/>
            <w:noProof/>
          </w:rPr>
          <w:t>Potential non-meteorological applications of new generation systems</w:t>
        </w:r>
        <w:r>
          <w:rPr>
            <w:noProof/>
            <w:webHidden/>
          </w:rPr>
          <w:tab/>
        </w:r>
        <w:r>
          <w:rPr>
            <w:noProof/>
            <w:webHidden/>
          </w:rPr>
          <w:fldChar w:fldCharType="begin"/>
        </w:r>
        <w:r>
          <w:rPr>
            <w:noProof/>
            <w:webHidden/>
          </w:rPr>
          <w:instrText xml:space="preserve"> PAGEREF _Toc460923836 \h </w:instrText>
        </w:r>
        <w:r>
          <w:rPr>
            <w:noProof/>
            <w:webHidden/>
          </w:rPr>
        </w:r>
        <w:r>
          <w:rPr>
            <w:noProof/>
            <w:webHidden/>
          </w:rPr>
          <w:fldChar w:fldCharType="separate"/>
        </w:r>
        <w:r w:rsidR="00ED66C2">
          <w:rPr>
            <w:noProof/>
            <w:webHidden/>
          </w:rPr>
          <w:t>21</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37" w:history="1">
        <w:r w:rsidRPr="00303747">
          <w:rPr>
            <w:rStyle w:val="Hyperlink"/>
            <w:noProof/>
          </w:rPr>
          <w:t>3.1</w:t>
        </w:r>
        <w:r>
          <w:rPr>
            <w:rFonts w:asciiTheme="minorHAnsi" w:eastAsiaTheme="minorEastAsia" w:hAnsiTheme="minorHAnsi" w:cstheme="minorBidi"/>
            <w:noProof/>
            <w:color w:val="auto"/>
            <w:lang w:val="en-US" w:eastAsia="en-US"/>
          </w:rPr>
          <w:tab/>
        </w:r>
        <w:r w:rsidRPr="00303747">
          <w:rPr>
            <w:rStyle w:val="Hyperlink"/>
            <w:noProof/>
          </w:rPr>
          <w:t>Introduction</w:t>
        </w:r>
        <w:r>
          <w:rPr>
            <w:noProof/>
            <w:webHidden/>
          </w:rPr>
          <w:tab/>
        </w:r>
        <w:r>
          <w:rPr>
            <w:noProof/>
            <w:webHidden/>
          </w:rPr>
          <w:fldChar w:fldCharType="begin"/>
        </w:r>
        <w:r>
          <w:rPr>
            <w:noProof/>
            <w:webHidden/>
          </w:rPr>
          <w:instrText xml:space="preserve"> PAGEREF _Toc460923837 \h </w:instrText>
        </w:r>
        <w:r>
          <w:rPr>
            <w:noProof/>
            <w:webHidden/>
          </w:rPr>
        </w:r>
        <w:r>
          <w:rPr>
            <w:noProof/>
            <w:webHidden/>
          </w:rPr>
          <w:fldChar w:fldCharType="separate"/>
        </w:r>
        <w:r w:rsidR="00ED66C2">
          <w:rPr>
            <w:noProof/>
            <w:webHidden/>
          </w:rPr>
          <w:t>21</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38" w:history="1">
        <w:r w:rsidRPr="00303747">
          <w:rPr>
            <w:rStyle w:val="Hyperlink"/>
            <w:noProof/>
          </w:rPr>
          <w:t>3.2</w:t>
        </w:r>
        <w:r>
          <w:rPr>
            <w:rFonts w:asciiTheme="minorHAnsi" w:eastAsiaTheme="minorEastAsia" w:hAnsiTheme="minorHAnsi" w:cstheme="minorBidi"/>
            <w:noProof/>
            <w:color w:val="auto"/>
            <w:lang w:val="en-US" w:eastAsia="en-US"/>
          </w:rPr>
          <w:tab/>
        </w:r>
        <w:r w:rsidRPr="00303747">
          <w:rPr>
            <w:rStyle w:val="Hyperlink"/>
            <w:noProof/>
          </w:rPr>
          <w:t>Atmospheric products</w:t>
        </w:r>
        <w:r>
          <w:rPr>
            <w:noProof/>
            <w:webHidden/>
          </w:rPr>
          <w:tab/>
        </w:r>
        <w:r>
          <w:rPr>
            <w:noProof/>
            <w:webHidden/>
          </w:rPr>
          <w:fldChar w:fldCharType="begin"/>
        </w:r>
        <w:r>
          <w:rPr>
            <w:noProof/>
            <w:webHidden/>
          </w:rPr>
          <w:instrText xml:space="preserve"> PAGEREF _Toc460923838 \h </w:instrText>
        </w:r>
        <w:r>
          <w:rPr>
            <w:noProof/>
            <w:webHidden/>
          </w:rPr>
        </w:r>
        <w:r>
          <w:rPr>
            <w:noProof/>
            <w:webHidden/>
          </w:rPr>
          <w:fldChar w:fldCharType="separate"/>
        </w:r>
        <w:r w:rsidR="00ED66C2">
          <w:rPr>
            <w:noProof/>
            <w:webHidden/>
          </w:rPr>
          <w:t>22</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39" w:history="1">
        <w:r w:rsidRPr="00303747">
          <w:rPr>
            <w:rStyle w:val="Hyperlink"/>
            <w:noProof/>
          </w:rPr>
          <w:t>3.3</w:t>
        </w:r>
        <w:r>
          <w:rPr>
            <w:rFonts w:asciiTheme="minorHAnsi" w:eastAsiaTheme="minorEastAsia" w:hAnsiTheme="minorHAnsi" w:cstheme="minorBidi"/>
            <w:noProof/>
            <w:color w:val="auto"/>
            <w:lang w:val="en-US" w:eastAsia="en-US"/>
          </w:rPr>
          <w:tab/>
        </w:r>
        <w:r w:rsidRPr="00303747">
          <w:rPr>
            <w:rStyle w:val="Hyperlink"/>
            <w:noProof/>
          </w:rPr>
          <w:t>Ocean products</w:t>
        </w:r>
        <w:r>
          <w:rPr>
            <w:noProof/>
            <w:webHidden/>
          </w:rPr>
          <w:tab/>
        </w:r>
        <w:r>
          <w:rPr>
            <w:noProof/>
            <w:webHidden/>
          </w:rPr>
          <w:fldChar w:fldCharType="begin"/>
        </w:r>
        <w:r>
          <w:rPr>
            <w:noProof/>
            <w:webHidden/>
          </w:rPr>
          <w:instrText xml:space="preserve"> PAGEREF _Toc460923839 \h </w:instrText>
        </w:r>
        <w:r>
          <w:rPr>
            <w:noProof/>
            <w:webHidden/>
          </w:rPr>
        </w:r>
        <w:r>
          <w:rPr>
            <w:noProof/>
            <w:webHidden/>
          </w:rPr>
          <w:fldChar w:fldCharType="separate"/>
        </w:r>
        <w:r w:rsidR="00ED66C2">
          <w:rPr>
            <w:noProof/>
            <w:webHidden/>
          </w:rPr>
          <w:t>28</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40" w:history="1">
        <w:r w:rsidRPr="00303747">
          <w:rPr>
            <w:rStyle w:val="Hyperlink"/>
            <w:noProof/>
          </w:rPr>
          <w:t>3.4</w:t>
        </w:r>
        <w:r>
          <w:rPr>
            <w:rFonts w:asciiTheme="minorHAnsi" w:eastAsiaTheme="minorEastAsia" w:hAnsiTheme="minorHAnsi" w:cstheme="minorBidi"/>
            <w:noProof/>
            <w:color w:val="auto"/>
            <w:lang w:val="en-US" w:eastAsia="en-US"/>
          </w:rPr>
          <w:tab/>
        </w:r>
        <w:r w:rsidRPr="00303747">
          <w:rPr>
            <w:rStyle w:val="Hyperlink"/>
            <w:noProof/>
          </w:rPr>
          <w:t>Land products</w:t>
        </w:r>
        <w:r>
          <w:rPr>
            <w:noProof/>
            <w:webHidden/>
          </w:rPr>
          <w:tab/>
        </w:r>
        <w:r>
          <w:rPr>
            <w:noProof/>
            <w:webHidden/>
          </w:rPr>
          <w:fldChar w:fldCharType="begin"/>
        </w:r>
        <w:r>
          <w:rPr>
            <w:noProof/>
            <w:webHidden/>
          </w:rPr>
          <w:instrText xml:space="preserve"> PAGEREF _Toc460923840 \h </w:instrText>
        </w:r>
        <w:r>
          <w:rPr>
            <w:noProof/>
            <w:webHidden/>
          </w:rPr>
        </w:r>
        <w:r>
          <w:rPr>
            <w:noProof/>
            <w:webHidden/>
          </w:rPr>
          <w:fldChar w:fldCharType="separate"/>
        </w:r>
        <w:r w:rsidR="00ED66C2">
          <w:rPr>
            <w:noProof/>
            <w:webHidden/>
          </w:rPr>
          <w:t>36</w:t>
        </w:r>
        <w:r>
          <w:rPr>
            <w:noProof/>
            <w:webHidden/>
          </w:rPr>
          <w:fldChar w:fldCharType="end"/>
        </w:r>
      </w:hyperlink>
    </w:p>
    <w:p w:rsidR="00E44CE8" w:rsidRDefault="00E44CE8">
      <w:pPr>
        <w:pStyle w:val="TOC2"/>
        <w:rPr>
          <w:rFonts w:asciiTheme="minorHAnsi" w:eastAsiaTheme="minorEastAsia" w:hAnsiTheme="minorHAnsi" w:cstheme="minorBidi"/>
          <w:noProof/>
          <w:color w:val="auto"/>
          <w:lang w:val="en-US" w:eastAsia="en-US"/>
        </w:rPr>
      </w:pPr>
      <w:hyperlink w:anchor="_Toc460923841" w:history="1">
        <w:r w:rsidRPr="00303747">
          <w:rPr>
            <w:rStyle w:val="Hyperlink"/>
            <w:noProof/>
          </w:rPr>
          <w:t>4</w:t>
        </w:r>
        <w:r>
          <w:rPr>
            <w:rFonts w:asciiTheme="minorHAnsi" w:eastAsiaTheme="minorEastAsia" w:hAnsiTheme="minorHAnsi" w:cstheme="minorBidi"/>
            <w:noProof/>
            <w:color w:val="auto"/>
            <w:lang w:val="en-US" w:eastAsia="en-US"/>
          </w:rPr>
          <w:tab/>
        </w:r>
        <w:r w:rsidRPr="00303747">
          <w:rPr>
            <w:rStyle w:val="Hyperlink"/>
            <w:noProof/>
          </w:rPr>
          <w:t>Synergistic use of LEO systems – benefits and issues</w:t>
        </w:r>
        <w:r>
          <w:rPr>
            <w:noProof/>
            <w:webHidden/>
          </w:rPr>
          <w:tab/>
        </w:r>
        <w:r>
          <w:rPr>
            <w:noProof/>
            <w:webHidden/>
          </w:rPr>
          <w:fldChar w:fldCharType="begin"/>
        </w:r>
        <w:r>
          <w:rPr>
            <w:noProof/>
            <w:webHidden/>
          </w:rPr>
          <w:instrText xml:space="preserve"> PAGEREF _Toc460923841 \h </w:instrText>
        </w:r>
        <w:r>
          <w:rPr>
            <w:noProof/>
            <w:webHidden/>
          </w:rPr>
        </w:r>
        <w:r>
          <w:rPr>
            <w:noProof/>
            <w:webHidden/>
          </w:rPr>
          <w:fldChar w:fldCharType="separate"/>
        </w:r>
        <w:r w:rsidR="00ED66C2">
          <w:rPr>
            <w:noProof/>
            <w:webHidden/>
          </w:rPr>
          <w:t>49</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42" w:history="1">
        <w:r w:rsidRPr="00303747">
          <w:rPr>
            <w:rStyle w:val="Hyperlink"/>
            <w:noProof/>
          </w:rPr>
          <w:t>4.1</w:t>
        </w:r>
        <w:r>
          <w:rPr>
            <w:rFonts w:asciiTheme="minorHAnsi" w:eastAsiaTheme="minorEastAsia" w:hAnsiTheme="minorHAnsi" w:cstheme="minorBidi"/>
            <w:noProof/>
            <w:color w:val="auto"/>
            <w:lang w:val="en-US" w:eastAsia="en-US"/>
          </w:rPr>
          <w:tab/>
        </w:r>
        <w:r w:rsidRPr="00303747">
          <w:rPr>
            <w:rStyle w:val="Hyperlink"/>
            <w:noProof/>
          </w:rPr>
          <w:t>Synergistic use – what kind of synergy is meant</w:t>
        </w:r>
        <w:r>
          <w:rPr>
            <w:noProof/>
            <w:webHidden/>
          </w:rPr>
          <w:tab/>
        </w:r>
        <w:r>
          <w:rPr>
            <w:noProof/>
            <w:webHidden/>
          </w:rPr>
          <w:fldChar w:fldCharType="begin"/>
        </w:r>
        <w:r>
          <w:rPr>
            <w:noProof/>
            <w:webHidden/>
          </w:rPr>
          <w:instrText xml:space="preserve"> PAGEREF _Toc460923842 \h </w:instrText>
        </w:r>
        <w:r>
          <w:rPr>
            <w:noProof/>
            <w:webHidden/>
          </w:rPr>
        </w:r>
        <w:r>
          <w:rPr>
            <w:noProof/>
            <w:webHidden/>
          </w:rPr>
          <w:fldChar w:fldCharType="separate"/>
        </w:r>
        <w:r w:rsidR="00ED66C2">
          <w:rPr>
            <w:noProof/>
            <w:webHidden/>
          </w:rPr>
          <w:t>49</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43" w:history="1">
        <w:r w:rsidRPr="00303747">
          <w:rPr>
            <w:rStyle w:val="Hyperlink"/>
            <w:noProof/>
          </w:rPr>
          <w:t>4.2</w:t>
        </w:r>
        <w:r>
          <w:rPr>
            <w:rFonts w:asciiTheme="minorHAnsi" w:eastAsiaTheme="minorEastAsia" w:hAnsiTheme="minorHAnsi" w:cstheme="minorBidi"/>
            <w:noProof/>
            <w:color w:val="auto"/>
            <w:lang w:val="en-US" w:eastAsia="en-US"/>
          </w:rPr>
          <w:tab/>
        </w:r>
        <w:r w:rsidRPr="00303747">
          <w:rPr>
            <w:rStyle w:val="Hyperlink"/>
            <w:noProof/>
          </w:rPr>
          <w:t>GEO and LEO observation geometry</w:t>
        </w:r>
        <w:r>
          <w:rPr>
            <w:noProof/>
            <w:webHidden/>
          </w:rPr>
          <w:tab/>
        </w:r>
        <w:r>
          <w:rPr>
            <w:noProof/>
            <w:webHidden/>
          </w:rPr>
          <w:fldChar w:fldCharType="begin"/>
        </w:r>
        <w:r>
          <w:rPr>
            <w:noProof/>
            <w:webHidden/>
          </w:rPr>
          <w:instrText xml:space="preserve"> PAGEREF _Toc460923843 \h </w:instrText>
        </w:r>
        <w:r>
          <w:rPr>
            <w:noProof/>
            <w:webHidden/>
          </w:rPr>
        </w:r>
        <w:r>
          <w:rPr>
            <w:noProof/>
            <w:webHidden/>
          </w:rPr>
          <w:fldChar w:fldCharType="separate"/>
        </w:r>
        <w:r w:rsidR="00ED66C2">
          <w:rPr>
            <w:noProof/>
            <w:webHidden/>
          </w:rPr>
          <w:t>50</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44" w:history="1">
        <w:r w:rsidRPr="00303747">
          <w:rPr>
            <w:rStyle w:val="Hyperlink"/>
            <w:noProof/>
          </w:rPr>
          <w:t>4.3</w:t>
        </w:r>
        <w:r>
          <w:rPr>
            <w:rFonts w:asciiTheme="minorHAnsi" w:eastAsiaTheme="minorEastAsia" w:hAnsiTheme="minorHAnsi" w:cstheme="minorBidi"/>
            <w:noProof/>
            <w:color w:val="auto"/>
            <w:lang w:val="en-US" w:eastAsia="en-US"/>
          </w:rPr>
          <w:tab/>
        </w:r>
        <w:r w:rsidRPr="00303747">
          <w:rPr>
            <w:rStyle w:val="Hyperlink"/>
            <w:noProof/>
          </w:rPr>
          <w:t>Basic Pre-requisites and Requirements</w:t>
        </w:r>
        <w:r>
          <w:rPr>
            <w:noProof/>
            <w:webHidden/>
          </w:rPr>
          <w:tab/>
        </w:r>
        <w:r>
          <w:rPr>
            <w:noProof/>
            <w:webHidden/>
          </w:rPr>
          <w:fldChar w:fldCharType="begin"/>
        </w:r>
        <w:r>
          <w:rPr>
            <w:noProof/>
            <w:webHidden/>
          </w:rPr>
          <w:instrText xml:space="preserve"> PAGEREF _Toc460923844 \h </w:instrText>
        </w:r>
        <w:r>
          <w:rPr>
            <w:noProof/>
            <w:webHidden/>
          </w:rPr>
        </w:r>
        <w:r>
          <w:rPr>
            <w:noProof/>
            <w:webHidden/>
          </w:rPr>
          <w:fldChar w:fldCharType="separate"/>
        </w:r>
        <w:r w:rsidR="00ED66C2">
          <w:rPr>
            <w:noProof/>
            <w:webHidden/>
          </w:rPr>
          <w:t>51</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45" w:history="1">
        <w:r w:rsidRPr="00303747">
          <w:rPr>
            <w:rStyle w:val="Hyperlink"/>
            <w:noProof/>
          </w:rPr>
          <w:t>4.4</w:t>
        </w:r>
        <w:r>
          <w:rPr>
            <w:rFonts w:asciiTheme="minorHAnsi" w:eastAsiaTheme="minorEastAsia" w:hAnsiTheme="minorHAnsi" w:cstheme="minorBidi"/>
            <w:noProof/>
            <w:color w:val="auto"/>
            <w:lang w:val="en-US" w:eastAsia="en-US"/>
          </w:rPr>
          <w:tab/>
        </w:r>
        <w:r w:rsidRPr="00303747">
          <w:rPr>
            <w:rStyle w:val="Hyperlink"/>
            <w:noProof/>
          </w:rPr>
          <w:t>Potential fields of Earth Observation applications</w:t>
        </w:r>
        <w:r>
          <w:rPr>
            <w:noProof/>
            <w:webHidden/>
          </w:rPr>
          <w:tab/>
        </w:r>
        <w:r>
          <w:rPr>
            <w:noProof/>
            <w:webHidden/>
          </w:rPr>
          <w:fldChar w:fldCharType="begin"/>
        </w:r>
        <w:r>
          <w:rPr>
            <w:noProof/>
            <w:webHidden/>
          </w:rPr>
          <w:instrText xml:space="preserve"> PAGEREF _Toc460923845 \h </w:instrText>
        </w:r>
        <w:r>
          <w:rPr>
            <w:noProof/>
            <w:webHidden/>
          </w:rPr>
        </w:r>
        <w:r>
          <w:rPr>
            <w:noProof/>
            <w:webHidden/>
          </w:rPr>
          <w:fldChar w:fldCharType="separate"/>
        </w:r>
        <w:r w:rsidR="00ED66C2">
          <w:rPr>
            <w:noProof/>
            <w:webHidden/>
          </w:rPr>
          <w:t>52</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46" w:history="1">
        <w:r w:rsidRPr="00303747">
          <w:rPr>
            <w:rStyle w:val="Hyperlink"/>
            <w:noProof/>
          </w:rPr>
          <w:t>4.5</w:t>
        </w:r>
        <w:r>
          <w:rPr>
            <w:rFonts w:asciiTheme="minorHAnsi" w:eastAsiaTheme="minorEastAsia" w:hAnsiTheme="minorHAnsi" w:cstheme="minorBidi"/>
            <w:noProof/>
            <w:color w:val="auto"/>
            <w:lang w:val="en-US" w:eastAsia="en-US"/>
          </w:rPr>
          <w:tab/>
        </w:r>
        <w:r w:rsidRPr="00303747">
          <w:rPr>
            <w:rStyle w:val="Hyperlink"/>
            <w:noProof/>
          </w:rPr>
          <w:t>Examples of GEO+LEO Earth Observation applications</w:t>
        </w:r>
        <w:r>
          <w:rPr>
            <w:noProof/>
            <w:webHidden/>
          </w:rPr>
          <w:tab/>
        </w:r>
        <w:r>
          <w:rPr>
            <w:noProof/>
            <w:webHidden/>
          </w:rPr>
          <w:fldChar w:fldCharType="begin"/>
        </w:r>
        <w:r>
          <w:rPr>
            <w:noProof/>
            <w:webHidden/>
          </w:rPr>
          <w:instrText xml:space="preserve"> PAGEREF _Toc460923846 \h </w:instrText>
        </w:r>
        <w:r>
          <w:rPr>
            <w:noProof/>
            <w:webHidden/>
          </w:rPr>
        </w:r>
        <w:r>
          <w:rPr>
            <w:noProof/>
            <w:webHidden/>
          </w:rPr>
          <w:fldChar w:fldCharType="separate"/>
        </w:r>
        <w:r w:rsidR="00ED66C2">
          <w:rPr>
            <w:noProof/>
            <w:webHidden/>
          </w:rPr>
          <w:t>54</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47" w:history="1">
        <w:r w:rsidRPr="00303747">
          <w:rPr>
            <w:rStyle w:val="Hyperlink"/>
            <w:noProof/>
          </w:rPr>
          <w:t>4.6</w:t>
        </w:r>
        <w:r>
          <w:rPr>
            <w:rFonts w:asciiTheme="minorHAnsi" w:eastAsiaTheme="minorEastAsia" w:hAnsiTheme="minorHAnsi" w:cstheme="minorBidi"/>
            <w:noProof/>
            <w:color w:val="auto"/>
            <w:lang w:val="en-US" w:eastAsia="en-US"/>
          </w:rPr>
          <w:tab/>
        </w:r>
        <w:r w:rsidRPr="00303747">
          <w:rPr>
            <w:rStyle w:val="Hyperlink"/>
            <w:noProof/>
          </w:rPr>
          <w:t>Case Study</w:t>
        </w:r>
        <w:r>
          <w:rPr>
            <w:noProof/>
            <w:webHidden/>
          </w:rPr>
          <w:tab/>
        </w:r>
        <w:r>
          <w:rPr>
            <w:noProof/>
            <w:webHidden/>
          </w:rPr>
          <w:fldChar w:fldCharType="begin"/>
        </w:r>
        <w:r>
          <w:rPr>
            <w:noProof/>
            <w:webHidden/>
          </w:rPr>
          <w:instrText xml:space="preserve"> PAGEREF _Toc460923847 \h </w:instrText>
        </w:r>
        <w:r>
          <w:rPr>
            <w:noProof/>
            <w:webHidden/>
          </w:rPr>
        </w:r>
        <w:r>
          <w:rPr>
            <w:noProof/>
            <w:webHidden/>
          </w:rPr>
          <w:fldChar w:fldCharType="separate"/>
        </w:r>
        <w:r w:rsidR="00ED66C2">
          <w:rPr>
            <w:noProof/>
            <w:webHidden/>
          </w:rPr>
          <w:t>55</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48" w:history="1">
        <w:r w:rsidRPr="00303747">
          <w:rPr>
            <w:rStyle w:val="Hyperlink"/>
            <w:noProof/>
          </w:rPr>
          <w:t>4.7</w:t>
        </w:r>
        <w:r>
          <w:rPr>
            <w:rFonts w:asciiTheme="minorHAnsi" w:eastAsiaTheme="minorEastAsia" w:hAnsiTheme="minorHAnsi" w:cstheme="minorBidi"/>
            <w:noProof/>
            <w:color w:val="auto"/>
            <w:lang w:val="en-US" w:eastAsia="en-US"/>
          </w:rPr>
          <w:tab/>
        </w:r>
        <w:r w:rsidRPr="00303747">
          <w:rPr>
            <w:rStyle w:val="Hyperlink"/>
            <w:noProof/>
          </w:rPr>
          <w:t>Conclusion</w:t>
        </w:r>
        <w:r>
          <w:rPr>
            <w:noProof/>
            <w:webHidden/>
          </w:rPr>
          <w:tab/>
        </w:r>
        <w:r>
          <w:rPr>
            <w:noProof/>
            <w:webHidden/>
          </w:rPr>
          <w:fldChar w:fldCharType="begin"/>
        </w:r>
        <w:r>
          <w:rPr>
            <w:noProof/>
            <w:webHidden/>
          </w:rPr>
          <w:instrText xml:space="preserve"> PAGEREF _Toc460923848 \h </w:instrText>
        </w:r>
        <w:r>
          <w:rPr>
            <w:noProof/>
            <w:webHidden/>
          </w:rPr>
        </w:r>
        <w:r>
          <w:rPr>
            <w:noProof/>
            <w:webHidden/>
          </w:rPr>
          <w:fldChar w:fldCharType="separate"/>
        </w:r>
        <w:r w:rsidR="00ED66C2">
          <w:rPr>
            <w:noProof/>
            <w:webHidden/>
          </w:rPr>
          <w:t>56</w:t>
        </w:r>
        <w:r>
          <w:rPr>
            <w:noProof/>
            <w:webHidden/>
          </w:rPr>
          <w:fldChar w:fldCharType="end"/>
        </w:r>
      </w:hyperlink>
    </w:p>
    <w:p w:rsidR="00E44CE8" w:rsidRDefault="00E44CE8">
      <w:pPr>
        <w:pStyle w:val="TOC2"/>
        <w:rPr>
          <w:rFonts w:asciiTheme="minorHAnsi" w:eastAsiaTheme="minorEastAsia" w:hAnsiTheme="minorHAnsi" w:cstheme="minorBidi"/>
          <w:noProof/>
          <w:color w:val="auto"/>
          <w:lang w:val="en-US" w:eastAsia="en-US"/>
        </w:rPr>
      </w:pPr>
      <w:hyperlink w:anchor="_Toc460923849" w:history="1">
        <w:r w:rsidRPr="00303747">
          <w:rPr>
            <w:rStyle w:val="Hyperlink"/>
            <w:noProof/>
          </w:rPr>
          <w:t>5</w:t>
        </w:r>
        <w:r>
          <w:rPr>
            <w:rFonts w:asciiTheme="minorHAnsi" w:eastAsiaTheme="minorEastAsia" w:hAnsiTheme="minorHAnsi" w:cstheme="minorBidi"/>
            <w:noProof/>
            <w:color w:val="auto"/>
            <w:lang w:val="en-US" w:eastAsia="en-US"/>
          </w:rPr>
          <w:tab/>
        </w:r>
        <w:r w:rsidRPr="00303747">
          <w:rPr>
            <w:rStyle w:val="Hyperlink"/>
            <w:noProof/>
          </w:rPr>
          <w:t>Coordinating initiatives</w:t>
        </w:r>
        <w:r>
          <w:rPr>
            <w:noProof/>
            <w:webHidden/>
          </w:rPr>
          <w:tab/>
        </w:r>
        <w:r>
          <w:rPr>
            <w:noProof/>
            <w:webHidden/>
          </w:rPr>
          <w:fldChar w:fldCharType="begin"/>
        </w:r>
        <w:r>
          <w:rPr>
            <w:noProof/>
            <w:webHidden/>
          </w:rPr>
          <w:instrText xml:space="preserve"> PAGEREF _Toc460923849 \h </w:instrText>
        </w:r>
        <w:r>
          <w:rPr>
            <w:noProof/>
            <w:webHidden/>
          </w:rPr>
        </w:r>
        <w:r>
          <w:rPr>
            <w:noProof/>
            <w:webHidden/>
          </w:rPr>
          <w:fldChar w:fldCharType="separate"/>
        </w:r>
        <w:r w:rsidR="00ED66C2">
          <w:rPr>
            <w:noProof/>
            <w:webHidden/>
          </w:rPr>
          <w:t>57</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50" w:history="1">
        <w:r w:rsidRPr="00303747">
          <w:rPr>
            <w:rStyle w:val="Hyperlink"/>
            <w:noProof/>
          </w:rPr>
          <w:t>5.1</w:t>
        </w:r>
        <w:r>
          <w:rPr>
            <w:rFonts w:asciiTheme="minorHAnsi" w:eastAsiaTheme="minorEastAsia" w:hAnsiTheme="minorHAnsi" w:cstheme="minorBidi"/>
            <w:noProof/>
            <w:color w:val="auto"/>
            <w:lang w:val="en-US" w:eastAsia="en-US"/>
          </w:rPr>
          <w:tab/>
        </w:r>
        <w:r w:rsidRPr="00303747">
          <w:rPr>
            <w:rStyle w:val="Hyperlink"/>
            <w:noProof/>
          </w:rPr>
          <w:t>User engagement – SATURN, EUMETRAIN, WMO-CGMS VLab</w:t>
        </w:r>
        <w:r>
          <w:rPr>
            <w:noProof/>
            <w:webHidden/>
          </w:rPr>
          <w:tab/>
        </w:r>
        <w:r>
          <w:rPr>
            <w:noProof/>
            <w:webHidden/>
          </w:rPr>
          <w:fldChar w:fldCharType="begin"/>
        </w:r>
        <w:r>
          <w:rPr>
            <w:noProof/>
            <w:webHidden/>
          </w:rPr>
          <w:instrText xml:space="preserve"> PAGEREF _Toc460923850 \h </w:instrText>
        </w:r>
        <w:r>
          <w:rPr>
            <w:noProof/>
            <w:webHidden/>
          </w:rPr>
        </w:r>
        <w:r>
          <w:rPr>
            <w:noProof/>
            <w:webHidden/>
          </w:rPr>
          <w:fldChar w:fldCharType="separate"/>
        </w:r>
        <w:r w:rsidR="00ED66C2">
          <w:rPr>
            <w:noProof/>
            <w:webHidden/>
          </w:rPr>
          <w:t>57</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51" w:history="1">
        <w:r w:rsidRPr="00303747">
          <w:rPr>
            <w:rStyle w:val="Hyperlink"/>
            <w:noProof/>
          </w:rPr>
          <w:t>5.2</w:t>
        </w:r>
        <w:r>
          <w:rPr>
            <w:rFonts w:asciiTheme="minorHAnsi" w:eastAsiaTheme="minorEastAsia" w:hAnsiTheme="minorHAnsi" w:cstheme="minorBidi"/>
            <w:noProof/>
            <w:color w:val="auto"/>
            <w:lang w:val="en-US" w:eastAsia="en-US"/>
          </w:rPr>
          <w:tab/>
        </w:r>
        <w:r w:rsidRPr="00303747">
          <w:rPr>
            <w:rStyle w:val="Hyperlink"/>
            <w:noProof/>
          </w:rPr>
          <w:t>The Global Space-based Inter-Calibration System (GSICS)</w:t>
        </w:r>
        <w:r>
          <w:rPr>
            <w:noProof/>
            <w:webHidden/>
          </w:rPr>
          <w:tab/>
        </w:r>
        <w:r>
          <w:rPr>
            <w:noProof/>
            <w:webHidden/>
          </w:rPr>
          <w:fldChar w:fldCharType="begin"/>
        </w:r>
        <w:r>
          <w:rPr>
            <w:noProof/>
            <w:webHidden/>
          </w:rPr>
          <w:instrText xml:space="preserve"> PAGEREF _Toc460923851 \h </w:instrText>
        </w:r>
        <w:r>
          <w:rPr>
            <w:noProof/>
            <w:webHidden/>
          </w:rPr>
        </w:r>
        <w:r>
          <w:rPr>
            <w:noProof/>
            <w:webHidden/>
          </w:rPr>
          <w:fldChar w:fldCharType="separate"/>
        </w:r>
        <w:r w:rsidR="00ED66C2">
          <w:rPr>
            <w:noProof/>
            <w:webHidden/>
          </w:rPr>
          <w:t>57</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52" w:history="1">
        <w:r w:rsidRPr="00303747">
          <w:rPr>
            <w:rStyle w:val="Hyperlink"/>
            <w:noProof/>
          </w:rPr>
          <w:t>5.3</w:t>
        </w:r>
        <w:r>
          <w:rPr>
            <w:rFonts w:asciiTheme="minorHAnsi" w:eastAsiaTheme="minorEastAsia" w:hAnsiTheme="minorHAnsi" w:cstheme="minorBidi"/>
            <w:noProof/>
            <w:color w:val="auto"/>
            <w:lang w:val="en-US" w:eastAsia="en-US"/>
          </w:rPr>
          <w:tab/>
        </w:r>
        <w:r w:rsidRPr="00303747">
          <w:rPr>
            <w:rStyle w:val="Hyperlink"/>
            <w:noProof/>
          </w:rPr>
          <w:t>EUMETSAT Satellite Application Facilities (SAFs)</w:t>
        </w:r>
        <w:r>
          <w:rPr>
            <w:noProof/>
            <w:webHidden/>
          </w:rPr>
          <w:tab/>
        </w:r>
        <w:r>
          <w:rPr>
            <w:noProof/>
            <w:webHidden/>
          </w:rPr>
          <w:fldChar w:fldCharType="begin"/>
        </w:r>
        <w:r>
          <w:rPr>
            <w:noProof/>
            <w:webHidden/>
          </w:rPr>
          <w:instrText xml:space="preserve"> PAGEREF _Toc460923852 \h </w:instrText>
        </w:r>
        <w:r>
          <w:rPr>
            <w:noProof/>
            <w:webHidden/>
          </w:rPr>
        </w:r>
        <w:r>
          <w:rPr>
            <w:noProof/>
            <w:webHidden/>
          </w:rPr>
          <w:fldChar w:fldCharType="separate"/>
        </w:r>
        <w:r w:rsidR="00ED66C2">
          <w:rPr>
            <w:noProof/>
            <w:webHidden/>
          </w:rPr>
          <w:t>59</w:t>
        </w:r>
        <w:r>
          <w:rPr>
            <w:noProof/>
            <w:webHidden/>
          </w:rPr>
          <w:fldChar w:fldCharType="end"/>
        </w:r>
      </w:hyperlink>
    </w:p>
    <w:p w:rsidR="00E44CE8" w:rsidRDefault="00E44CE8">
      <w:pPr>
        <w:pStyle w:val="TOC3"/>
        <w:rPr>
          <w:rFonts w:asciiTheme="minorHAnsi" w:eastAsiaTheme="minorEastAsia" w:hAnsiTheme="minorHAnsi" w:cstheme="minorBidi"/>
          <w:noProof/>
          <w:color w:val="auto"/>
          <w:lang w:val="en-US" w:eastAsia="en-US"/>
        </w:rPr>
      </w:pPr>
      <w:hyperlink w:anchor="_Toc460923853" w:history="1">
        <w:r w:rsidRPr="00303747">
          <w:rPr>
            <w:rStyle w:val="Hyperlink"/>
            <w:noProof/>
          </w:rPr>
          <w:t>5.4</w:t>
        </w:r>
        <w:r>
          <w:rPr>
            <w:rFonts w:asciiTheme="minorHAnsi" w:eastAsiaTheme="minorEastAsia" w:hAnsiTheme="minorHAnsi" w:cstheme="minorBidi"/>
            <w:noProof/>
            <w:color w:val="auto"/>
            <w:lang w:val="en-US" w:eastAsia="en-US"/>
          </w:rPr>
          <w:tab/>
        </w:r>
        <w:r w:rsidRPr="00303747">
          <w:rPr>
            <w:rStyle w:val="Hyperlink"/>
            <w:noProof/>
          </w:rPr>
          <w:t>Bilateral collaboration Japan-Australia</w:t>
        </w:r>
        <w:r>
          <w:rPr>
            <w:noProof/>
            <w:webHidden/>
          </w:rPr>
          <w:tab/>
        </w:r>
        <w:r>
          <w:rPr>
            <w:noProof/>
            <w:webHidden/>
          </w:rPr>
          <w:fldChar w:fldCharType="begin"/>
        </w:r>
        <w:r>
          <w:rPr>
            <w:noProof/>
            <w:webHidden/>
          </w:rPr>
          <w:instrText xml:space="preserve"> PAGEREF _Toc460923853 \h </w:instrText>
        </w:r>
        <w:r>
          <w:rPr>
            <w:noProof/>
            <w:webHidden/>
          </w:rPr>
        </w:r>
        <w:r>
          <w:rPr>
            <w:noProof/>
            <w:webHidden/>
          </w:rPr>
          <w:fldChar w:fldCharType="separate"/>
        </w:r>
        <w:r w:rsidR="00ED66C2">
          <w:rPr>
            <w:noProof/>
            <w:webHidden/>
          </w:rPr>
          <w:t>61</w:t>
        </w:r>
        <w:r>
          <w:rPr>
            <w:noProof/>
            <w:webHidden/>
          </w:rPr>
          <w:fldChar w:fldCharType="end"/>
        </w:r>
      </w:hyperlink>
    </w:p>
    <w:p w:rsidR="00E44CE8" w:rsidRDefault="00E44CE8">
      <w:pPr>
        <w:pStyle w:val="TOC2"/>
        <w:rPr>
          <w:rFonts w:asciiTheme="minorHAnsi" w:eastAsiaTheme="minorEastAsia" w:hAnsiTheme="minorHAnsi" w:cstheme="minorBidi"/>
          <w:noProof/>
          <w:color w:val="auto"/>
          <w:lang w:val="en-US" w:eastAsia="en-US"/>
        </w:rPr>
      </w:pPr>
      <w:hyperlink w:anchor="_Toc460923854" w:history="1">
        <w:r w:rsidRPr="00303747">
          <w:rPr>
            <w:rStyle w:val="Hyperlink"/>
            <w:noProof/>
          </w:rPr>
          <w:t>6</w:t>
        </w:r>
        <w:r>
          <w:rPr>
            <w:rFonts w:asciiTheme="minorHAnsi" w:eastAsiaTheme="minorEastAsia" w:hAnsiTheme="minorHAnsi" w:cstheme="minorBidi"/>
            <w:noProof/>
            <w:color w:val="auto"/>
            <w:lang w:val="en-US" w:eastAsia="en-US"/>
          </w:rPr>
          <w:tab/>
        </w:r>
        <w:r w:rsidRPr="00303747">
          <w:rPr>
            <w:rStyle w:val="Hyperlink"/>
            <w:noProof/>
          </w:rPr>
          <w:t>Summary and Recommendations</w:t>
        </w:r>
        <w:r>
          <w:rPr>
            <w:noProof/>
            <w:webHidden/>
          </w:rPr>
          <w:tab/>
        </w:r>
        <w:r>
          <w:rPr>
            <w:noProof/>
            <w:webHidden/>
          </w:rPr>
          <w:fldChar w:fldCharType="begin"/>
        </w:r>
        <w:r>
          <w:rPr>
            <w:noProof/>
            <w:webHidden/>
          </w:rPr>
          <w:instrText xml:space="preserve"> PAGEREF _Toc460923854 \h </w:instrText>
        </w:r>
        <w:r>
          <w:rPr>
            <w:noProof/>
            <w:webHidden/>
          </w:rPr>
        </w:r>
        <w:r>
          <w:rPr>
            <w:noProof/>
            <w:webHidden/>
          </w:rPr>
          <w:fldChar w:fldCharType="separate"/>
        </w:r>
        <w:r w:rsidR="00ED66C2">
          <w:rPr>
            <w:noProof/>
            <w:webHidden/>
          </w:rPr>
          <w:t>62</w:t>
        </w:r>
        <w:r>
          <w:rPr>
            <w:noProof/>
            <w:webHidden/>
          </w:rPr>
          <w:fldChar w:fldCharType="end"/>
        </w:r>
      </w:hyperlink>
    </w:p>
    <w:p w:rsidR="00E44CE8" w:rsidRDefault="00E44CE8">
      <w:pPr>
        <w:pStyle w:val="TOC2"/>
        <w:rPr>
          <w:rFonts w:asciiTheme="minorHAnsi" w:eastAsiaTheme="minorEastAsia" w:hAnsiTheme="minorHAnsi" w:cstheme="minorBidi"/>
          <w:noProof/>
          <w:color w:val="auto"/>
          <w:lang w:val="en-US" w:eastAsia="en-US"/>
        </w:rPr>
      </w:pPr>
      <w:hyperlink w:anchor="_Toc460923855" w:history="1">
        <w:r w:rsidRPr="00303747">
          <w:rPr>
            <w:rStyle w:val="Hyperlink"/>
            <w:noProof/>
          </w:rPr>
          <w:t>Acknowledgments</w:t>
        </w:r>
        <w:r>
          <w:rPr>
            <w:noProof/>
            <w:webHidden/>
          </w:rPr>
          <w:tab/>
        </w:r>
        <w:r>
          <w:rPr>
            <w:noProof/>
            <w:webHidden/>
          </w:rPr>
          <w:fldChar w:fldCharType="begin"/>
        </w:r>
        <w:r>
          <w:rPr>
            <w:noProof/>
            <w:webHidden/>
          </w:rPr>
          <w:instrText xml:space="preserve"> PAGEREF _Toc460923855 \h </w:instrText>
        </w:r>
        <w:r>
          <w:rPr>
            <w:noProof/>
            <w:webHidden/>
          </w:rPr>
        </w:r>
        <w:r>
          <w:rPr>
            <w:noProof/>
            <w:webHidden/>
          </w:rPr>
          <w:fldChar w:fldCharType="separate"/>
        </w:r>
        <w:r w:rsidR="00ED66C2">
          <w:rPr>
            <w:noProof/>
            <w:webHidden/>
          </w:rPr>
          <w:t>64</w:t>
        </w:r>
        <w:r>
          <w:rPr>
            <w:noProof/>
            <w:webHidden/>
          </w:rPr>
          <w:fldChar w:fldCharType="end"/>
        </w:r>
      </w:hyperlink>
    </w:p>
    <w:p w:rsidR="00E44CE8" w:rsidRDefault="00E44CE8">
      <w:pPr>
        <w:pStyle w:val="TOC2"/>
        <w:tabs>
          <w:tab w:val="left" w:pos="1320"/>
        </w:tabs>
        <w:rPr>
          <w:rFonts w:asciiTheme="minorHAnsi" w:eastAsiaTheme="minorEastAsia" w:hAnsiTheme="minorHAnsi" w:cstheme="minorBidi"/>
          <w:noProof/>
          <w:color w:val="auto"/>
          <w:lang w:val="en-US" w:eastAsia="en-US"/>
        </w:rPr>
      </w:pPr>
      <w:hyperlink w:anchor="_Toc460923856" w:history="1">
        <w:r w:rsidRPr="00303747">
          <w:rPr>
            <w:rStyle w:val="Hyperlink"/>
            <w:noProof/>
          </w:rPr>
          <w:t>Appendix A</w:t>
        </w:r>
        <w:r>
          <w:rPr>
            <w:rFonts w:asciiTheme="minorHAnsi" w:eastAsiaTheme="minorEastAsia" w:hAnsiTheme="minorHAnsi" w:cstheme="minorBidi"/>
            <w:noProof/>
            <w:color w:val="auto"/>
            <w:lang w:val="en-US" w:eastAsia="en-US"/>
          </w:rPr>
          <w:tab/>
        </w:r>
        <w:r w:rsidRPr="00303747">
          <w:rPr>
            <w:rStyle w:val="Hyperlink"/>
            <w:noProof/>
          </w:rPr>
          <w:t>Glossary of acronyms</w:t>
        </w:r>
        <w:r>
          <w:rPr>
            <w:noProof/>
            <w:webHidden/>
          </w:rPr>
          <w:tab/>
        </w:r>
        <w:r>
          <w:rPr>
            <w:noProof/>
            <w:webHidden/>
          </w:rPr>
          <w:fldChar w:fldCharType="begin"/>
        </w:r>
        <w:r>
          <w:rPr>
            <w:noProof/>
            <w:webHidden/>
          </w:rPr>
          <w:instrText xml:space="preserve"> PAGEREF _Toc460923856 \h </w:instrText>
        </w:r>
        <w:r>
          <w:rPr>
            <w:noProof/>
            <w:webHidden/>
          </w:rPr>
        </w:r>
        <w:r>
          <w:rPr>
            <w:noProof/>
            <w:webHidden/>
          </w:rPr>
          <w:fldChar w:fldCharType="separate"/>
        </w:r>
        <w:r w:rsidR="00ED66C2">
          <w:rPr>
            <w:noProof/>
            <w:webHidden/>
          </w:rPr>
          <w:t>65</w:t>
        </w:r>
        <w:r>
          <w:rPr>
            <w:noProof/>
            <w:webHidden/>
          </w:rPr>
          <w:fldChar w:fldCharType="end"/>
        </w:r>
      </w:hyperlink>
    </w:p>
    <w:p w:rsidR="00E44CE8" w:rsidRDefault="00E44CE8">
      <w:pPr>
        <w:pStyle w:val="TOC2"/>
        <w:rPr>
          <w:rFonts w:asciiTheme="minorHAnsi" w:eastAsiaTheme="minorEastAsia" w:hAnsiTheme="minorHAnsi" w:cstheme="minorBidi"/>
          <w:noProof/>
          <w:color w:val="auto"/>
          <w:lang w:val="en-US" w:eastAsia="en-US"/>
        </w:rPr>
      </w:pPr>
      <w:hyperlink w:anchor="_Toc460923857" w:history="1">
        <w:r w:rsidRPr="00303747">
          <w:rPr>
            <w:rStyle w:val="Hyperlink"/>
            <w:noProof/>
          </w:rPr>
          <w:t>References</w:t>
        </w:r>
        <w:r>
          <w:rPr>
            <w:noProof/>
            <w:webHidden/>
          </w:rPr>
          <w:tab/>
        </w:r>
        <w:r>
          <w:rPr>
            <w:noProof/>
            <w:webHidden/>
          </w:rPr>
          <w:fldChar w:fldCharType="begin"/>
        </w:r>
        <w:r>
          <w:rPr>
            <w:noProof/>
            <w:webHidden/>
          </w:rPr>
          <w:instrText xml:space="preserve"> PAGEREF _Toc460923857 \h </w:instrText>
        </w:r>
        <w:r>
          <w:rPr>
            <w:noProof/>
            <w:webHidden/>
          </w:rPr>
        </w:r>
        <w:r>
          <w:rPr>
            <w:noProof/>
            <w:webHidden/>
          </w:rPr>
          <w:fldChar w:fldCharType="separate"/>
        </w:r>
        <w:r w:rsidR="00ED66C2">
          <w:rPr>
            <w:noProof/>
            <w:webHidden/>
          </w:rPr>
          <w:t>67</w:t>
        </w:r>
        <w:r>
          <w:rPr>
            <w:noProof/>
            <w:webHidden/>
          </w:rPr>
          <w:fldChar w:fldCharType="end"/>
        </w:r>
      </w:hyperlink>
    </w:p>
    <w:p w:rsidR="00A943B2" w:rsidRDefault="00E27A82" w:rsidP="00FE3F4D">
      <w:r>
        <w:rPr>
          <w:b/>
          <w:noProof/>
          <w:color w:val="FFFFFF"/>
          <w:spacing w:val="-7"/>
        </w:rPr>
        <w:fldChar w:fldCharType="end"/>
      </w:r>
    </w:p>
    <w:p w:rsidR="00A943B2" w:rsidRDefault="00A943B2" w:rsidP="004712A8"/>
    <w:p w:rsidR="003053C7" w:rsidRDefault="003053C7">
      <w:pPr>
        <w:spacing w:after="0"/>
        <w:rPr>
          <w:rFonts w:eastAsia="Times New Roman"/>
          <w:b/>
          <w:color w:val="41B6E6"/>
          <w:sz w:val="44"/>
          <w:szCs w:val="28"/>
        </w:rPr>
      </w:pPr>
      <w:r>
        <w:br w:type="page"/>
      </w:r>
    </w:p>
    <w:p w:rsidR="00A943B2" w:rsidRDefault="004D139E" w:rsidP="00064612">
      <w:pPr>
        <w:pStyle w:val="ListofFiguresandTablesTOCHeading"/>
      </w:pPr>
      <w:r>
        <w:t>F</w:t>
      </w:r>
      <w:r w:rsidR="00A943B2">
        <w:t>igures</w:t>
      </w:r>
    </w:p>
    <w:p w:rsidR="00E44CE8" w:rsidRDefault="00E27A82">
      <w:pPr>
        <w:pStyle w:val="TableofFigures"/>
        <w:rPr>
          <w:rFonts w:asciiTheme="minorHAnsi" w:eastAsiaTheme="minorEastAsia" w:hAnsiTheme="minorHAnsi" w:cstheme="minorBidi"/>
          <w:noProof/>
          <w:color w:val="auto"/>
          <w:lang w:val="en-US" w:eastAsia="en-US"/>
        </w:rPr>
      </w:pPr>
      <w:r>
        <w:fldChar w:fldCharType="begin"/>
      </w:r>
      <w:r w:rsidR="00A943B2">
        <w:instrText xml:space="preserve"> TOC \h \z \c "Figure" </w:instrText>
      </w:r>
      <w:r>
        <w:fldChar w:fldCharType="separate"/>
      </w:r>
      <w:hyperlink w:anchor="_Toc460923858" w:history="1">
        <w:r w:rsidR="00E44CE8" w:rsidRPr="006E1CCD">
          <w:rPr>
            <w:rStyle w:val="Hyperlink"/>
            <w:noProof/>
          </w:rPr>
          <w:t>Figure 1: Spatial coverage from the next generation of geostationary meteorological satellites.</w:t>
        </w:r>
        <w:r w:rsidR="00E44CE8">
          <w:rPr>
            <w:noProof/>
            <w:webHidden/>
          </w:rPr>
          <w:tab/>
        </w:r>
        <w:r w:rsidR="00E44CE8">
          <w:rPr>
            <w:noProof/>
            <w:webHidden/>
          </w:rPr>
          <w:fldChar w:fldCharType="begin"/>
        </w:r>
        <w:r w:rsidR="00E44CE8">
          <w:rPr>
            <w:noProof/>
            <w:webHidden/>
          </w:rPr>
          <w:instrText xml:space="preserve"> PAGEREF _Toc460923858 \h </w:instrText>
        </w:r>
        <w:r w:rsidR="00E44CE8">
          <w:rPr>
            <w:noProof/>
            <w:webHidden/>
          </w:rPr>
        </w:r>
        <w:r w:rsidR="00E44CE8">
          <w:rPr>
            <w:noProof/>
            <w:webHidden/>
          </w:rPr>
          <w:fldChar w:fldCharType="separate"/>
        </w:r>
        <w:r w:rsidR="00ED66C2">
          <w:rPr>
            <w:noProof/>
            <w:webHidden/>
          </w:rPr>
          <w:t>10</w:t>
        </w:r>
        <w:r w:rsidR="00E44CE8">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59" w:history="1">
        <w:r w:rsidRPr="006E1CCD">
          <w:rPr>
            <w:rStyle w:val="Hyperlink"/>
            <w:noProof/>
          </w:rPr>
          <w:t>Figure 2: AHI data collection timeline.</w:t>
        </w:r>
        <w:r>
          <w:rPr>
            <w:noProof/>
            <w:webHidden/>
          </w:rPr>
          <w:tab/>
        </w:r>
        <w:r>
          <w:rPr>
            <w:noProof/>
            <w:webHidden/>
          </w:rPr>
          <w:fldChar w:fldCharType="begin"/>
        </w:r>
        <w:r>
          <w:rPr>
            <w:noProof/>
            <w:webHidden/>
          </w:rPr>
          <w:instrText xml:space="preserve"> PAGEREF _Toc460923859 \h </w:instrText>
        </w:r>
        <w:r>
          <w:rPr>
            <w:noProof/>
            <w:webHidden/>
          </w:rPr>
        </w:r>
        <w:r>
          <w:rPr>
            <w:noProof/>
            <w:webHidden/>
          </w:rPr>
          <w:fldChar w:fldCharType="separate"/>
        </w:r>
        <w:r w:rsidR="00ED66C2">
          <w:rPr>
            <w:noProof/>
            <w:webHidden/>
          </w:rPr>
          <w:t>11</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0" w:history="1">
        <w:r w:rsidRPr="006E1CCD">
          <w:rPr>
            <w:rStyle w:val="Hyperlink"/>
            <w:noProof/>
          </w:rPr>
          <w:t>Figure 3: Himawari-8 system architecture.</w:t>
        </w:r>
        <w:r>
          <w:rPr>
            <w:noProof/>
            <w:webHidden/>
          </w:rPr>
          <w:tab/>
        </w:r>
        <w:r>
          <w:rPr>
            <w:noProof/>
            <w:webHidden/>
          </w:rPr>
          <w:fldChar w:fldCharType="begin"/>
        </w:r>
        <w:r>
          <w:rPr>
            <w:noProof/>
            <w:webHidden/>
          </w:rPr>
          <w:instrText xml:space="preserve"> PAGEREF _Toc460923860 \h </w:instrText>
        </w:r>
        <w:r>
          <w:rPr>
            <w:noProof/>
            <w:webHidden/>
          </w:rPr>
        </w:r>
        <w:r>
          <w:rPr>
            <w:noProof/>
            <w:webHidden/>
          </w:rPr>
          <w:fldChar w:fldCharType="separate"/>
        </w:r>
        <w:r w:rsidR="00ED66C2">
          <w:rPr>
            <w:noProof/>
            <w:webHidden/>
          </w:rPr>
          <w:t>12</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1" w:history="1">
        <w:r w:rsidRPr="006E1CCD">
          <w:rPr>
            <w:rStyle w:val="Hyperlink"/>
            <w:noProof/>
          </w:rPr>
          <w:t>Figure 4: ABI data collection scene definitions.</w:t>
        </w:r>
        <w:r>
          <w:rPr>
            <w:noProof/>
            <w:webHidden/>
          </w:rPr>
          <w:tab/>
        </w:r>
        <w:r>
          <w:rPr>
            <w:noProof/>
            <w:webHidden/>
          </w:rPr>
          <w:fldChar w:fldCharType="begin"/>
        </w:r>
        <w:r>
          <w:rPr>
            <w:noProof/>
            <w:webHidden/>
          </w:rPr>
          <w:instrText xml:space="preserve"> PAGEREF _Toc460923861 \h </w:instrText>
        </w:r>
        <w:r>
          <w:rPr>
            <w:noProof/>
            <w:webHidden/>
          </w:rPr>
        </w:r>
        <w:r>
          <w:rPr>
            <w:noProof/>
            <w:webHidden/>
          </w:rPr>
          <w:fldChar w:fldCharType="separate"/>
        </w:r>
        <w:r w:rsidR="00ED66C2">
          <w:rPr>
            <w:noProof/>
            <w:webHidden/>
          </w:rPr>
          <w:t>13</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2" w:history="1">
        <w:r w:rsidRPr="006E1CCD">
          <w:rPr>
            <w:rStyle w:val="Hyperlink"/>
            <w:noProof/>
          </w:rPr>
          <w:t>Figure 5: GOES-R series system architecture.</w:t>
        </w:r>
        <w:r>
          <w:rPr>
            <w:noProof/>
            <w:webHidden/>
          </w:rPr>
          <w:tab/>
        </w:r>
        <w:r>
          <w:rPr>
            <w:noProof/>
            <w:webHidden/>
          </w:rPr>
          <w:fldChar w:fldCharType="begin"/>
        </w:r>
        <w:r>
          <w:rPr>
            <w:noProof/>
            <w:webHidden/>
          </w:rPr>
          <w:instrText xml:space="preserve"> PAGEREF _Toc460923862 \h </w:instrText>
        </w:r>
        <w:r>
          <w:rPr>
            <w:noProof/>
            <w:webHidden/>
          </w:rPr>
        </w:r>
        <w:r>
          <w:rPr>
            <w:noProof/>
            <w:webHidden/>
          </w:rPr>
          <w:fldChar w:fldCharType="separate"/>
        </w:r>
        <w:r w:rsidR="00ED66C2">
          <w:rPr>
            <w:noProof/>
            <w:webHidden/>
          </w:rPr>
          <w:t>14</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3" w:history="1">
        <w:r w:rsidRPr="006E1CCD">
          <w:rPr>
            <w:rStyle w:val="Hyperlink"/>
            <w:noProof/>
          </w:rPr>
          <w:t>Figure 6: FCI scene types.</w:t>
        </w:r>
        <w:r>
          <w:rPr>
            <w:noProof/>
            <w:webHidden/>
          </w:rPr>
          <w:tab/>
        </w:r>
        <w:r>
          <w:rPr>
            <w:noProof/>
            <w:webHidden/>
          </w:rPr>
          <w:fldChar w:fldCharType="begin"/>
        </w:r>
        <w:r>
          <w:rPr>
            <w:noProof/>
            <w:webHidden/>
          </w:rPr>
          <w:instrText xml:space="preserve"> PAGEREF _Toc460923863 \h </w:instrText>
        </w:r>
        <w:r>
          <w:rPr>
            <w:noProof/>
            <w:webHidden/>
          </w:rPr>
        </w:r>
        <w:r>
          <w:rPr>
            <w:noProof/>
            <w:webHidden/>
          </w:rPr>
          <w:fldChar w:fldCharType="separate"/>
        </w:r>
        <w:r w:rsidR="00ED66C2">
          <w:rPr>
            <w:noProof/>
            <w:webHidden/>
          </w:rPr>
          <w:t>15</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4" w:history="1">
        <w:r w:rsidRPr="006E1CCD">
          <w:rPr>
            <w:rStyle w:val="Hyperlink"/>
            <w:noProof/>
          </w:rPr>
          <w:t>Figure 7: MTG ground system (Legendre, et al. 2010).</w:t>
        </w:r>
        <w:r>
          <w:rPr>
            <w:noProof/>
            <w:webHidden/>
          </w:rPr>
          <w:tab/>
        </w:r>
        <w:r>
          <w:rPr>
            <w:noProof/>
            <w:webHidden/>
          </w:rPr>
          <w:fldChar w:fldCharType="begin"/>
        </w:r>
        <w:r>
          <w:rPr>
            <w:noProof/>
            <w:webHidden/>
          </w:rPr>
          <w:instrText xml:space="preserve"> PAGEREF _Toc460923864 \h </w:instrText>
        </w:r>
        <w:r>
          <w:rPr>
            <w:noProof/>
            <w:webHidden/>
          </w:rPr>
        </w:r>
        <w:r>
          <w:rPr>
            <w:noProof/>
            <w:webHidden/>
          </w:rPr>
          <w:fldChar w:fldCharType="separate"/>
        </w:r>
        <w:r w:rsidR="00ED66C2">
          <w:rPr>
            <w:noProof/>
            <w:webHidden/>
          </w:rPr>
          <w:t>16</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5" w:history="1">
        <w:r w:rsidRPr="006E1CCD">
          <w:rPr>
            <w:rStyle w:val="Hyperlink"/>
            <w:noProof/>
          </w:rPr>
          <w:t>Figure 8: CEOS Geostationary Atmospheric Chemistry Constellation and OMI tropospheric column nitrogen dioxide (NO2) showing high tropospheric NO2 columns associated with major industrialized regions (from http://tempo.si.edu/index.html).</w:t>
        </w:r>
        <w:r>
          <w:rPr>
            <w:noProof/>
            <w:webHidden/>
          </w:rPr>
          <w:tab/>
        </w:r>
        <w:r>
          <w:rPr>
            <w:noProof/>
            <w:webHidden/>
          </w:rPr>
          <w:fldChar w:fldCharType="begin"/>
        </w:r>
        <w:r>
          <w:rPr>
            <w:noProof/>
            <w:webHidden/>
          </w:rPr>
          <w:instrText xml:space="preserve"> PAGEREF _Toc460923865 \h </w:instrText>
        </w:r>
        <w:r>
          <w:rPr>
            <w:noProof/>
            <w:webHidden/>
          </w:rPr>
        </w:r>
        <w:r>
          <w:rPr>
            <w:noProof/>
            <w:webHidden/>
          </w:rPr>
          <w:fldChar w:fldCharType="separate"/>
        </w:r>
        <w:r w:rsidR="00ED66C2">
          <w:rPr>
            <w:noProof/>
            <w:webHidden/>
          </w:rPr>
          <w:t>17</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6" w:history="1">
        <w:r w:rsidRPr="006E1CCD">
          <w:rPr>
            <w:rStyle w:val="Hyperlink"/>
            <w:noProof/>
          </w:rPr>
          <w:t>Figure 9: Spatial sampling of hourly TEMPO measurements relative to the Washington DC metropolitan area. Each orange rectangle represents the footprint of a single pixel (from http://tempo.si.edu/index.html).</w:t>
        </w:r>
        <w:r>
          <w:rPr>
            <w:noProof/>
            <w:webHidden/>
          </w:rPr>
          <w:tab/>
        </w:r>
        <w:r>
          <w:rPr>
            <w:noProof/>
            <w:webHidden/>
          </w:rPr>
          <w:fldChar w:fldCharType="begin"/>
        </w:r>
        <w:r>
          <w:rPr>
            <w:noProof/>
            <w:webHidden/>
          </w:rPr>
          <w:instrText xml:space="preserve"> PAGEREF _Toc460923866 \h </w:instrText>
        </w:r>
        <w:r>
          <w:rPr>
            <w:noProof/>
            <w:webHidden/>
          </w:rPr>
        </w:r>
        <w:r>
          <w:rPr>
            <w:noProof/>
            <w:webHidden/>
          </w:rPr>
          <w:fldChar w:fldCharType="separate"/>
        </w:r>
        <w:r w:rsidR="00ED66C2">
          <w:rPr>
            <w:noProof/>
            <w:webHidden/>
          </w:rPr>
          <w:t>19</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7" w:history="1">
        <w:r w:rsidRPr="006E1CCD">
          <w:rPr>
            <w:rStyle w:val="Hyperlink"/>
            <w:noProof/>
          </w:rPr>
          <w:t>Figure 10: Map of the AOT (colour scale 0-0.7) at 635 nm for the 16</w:t>
        </w:r>
        <w:r w:rsidRPr="006E1CCD">
          <w:rPr>
            <w:rStyle w:val="Hyperlink"/>
            <w:noProof/>
            <w:vertAlign w:val="superscript"/>
          </w:rPr>
          <w:t>th</w:t>
        </w:r>
        <w:r w:rsidRPr="006E1CCD">
          <w:rPr>
            <w:rStyle w:val="Hyperlink"/>
            <w:noProof/>
          </w:rPr>
          <w:t xml:space="preserve"> July 2006 at 12:00 UT (Jolivet et al., 2008).</w:t>
        </w:r>
        <w:r>
          <w:rPr>
            <w:noProof/>
            <w:webHidden/>
          </w:rPr>
          <w:tab/>
        </w:r>
        <w:r>
          <w:rPr>
            <w:noProof/>
            <w:webHidden/>
          </w:rPr>
          <w:fldChar w:fldCharType="begin"/>
        </w:r>
        <w:r>
          <w:rPr>
            <w:noProof/>
            <w:webHidden/>
          </w:rPr>
          <w:instrText xml:space="preserve"> PAGEREF _Toc460923867 \h </w:instrText>
        </w:r>
        <w:r>
          <w:rPr>
            <w:noProof/>
            <w:webHidden/>
          </w:rPr>
        </w:r>
        <w:r>
          <w:rPr>
            <w:noProof/>
            <w:webHidden/>
          </w:rPr>
          <w:fldChar w:fldCharType="separate"/>
        </w:r>
        <w:r w:rsidR="00ED66C2">
          <w:rPr>
            <w:noProof/>
            <w:webHidden/>
          </w:rPr>
          <w:t>24</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8" w:history="1">
        <w:r w:rsidRPr="006E1CCD">
          <w:rPr>
            <w:rStyle w:val="Hyperlink"/>
            <w:noProof/>
          </w:rPr>
          <w:t>Figure 11: AOT at 500 nm (left and Angstroem coefficient (right) using Himawari-8 data over ocean (Hashimoto et. al., 2015).</w:t>
        </w:r>
        <w:r>
          <w:rPr>
            <w:noProof/>
            <w:webHidden/>
          </w:rPr>
          <w:tab/>
        </w:r>
        <w:r>
          <w:rPr>
            <w:noProof/>
            <w:webHidden/>
          </w:rPr>
          <w:fldChar w:fldCharType="begin"/>
        </w:r>
        <w:r>
          <w:rPr>
            <w:noProof/>
            <w:webHidden/>
          </w:rPr>
          <w:instrText xml:space="preserve"> PAGEREF _Toc460923868 \h </w:instrText>
        </w:r>
        <w:r>
          <w:rPr>
            <w:noProof/>
            <w:webHidden/>
          </w:rPr>
        </w:r>
        <w:r>
          <w:rPr>
            <w:noProof/>
            <w:webHidden/>
          </w:rPr>
          <w:fldChar w:fldCharType="separate"/>
        </w:r>
        <w:r w:rsidR="00ED66C2">
          <w:rPr>
            <w:noProof/>
            <w:webHidden/>
          </w:rPr>
          <w:t>24</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69" w:history="1">
        <w:r w:rsidRPr="006E1CCD">
          <w:rPr>
            <w:rStyle w:val="Hyperlink"/>
            <w:noProof/>
          </w:rPr>
          <w:t xml:space="preserve">Figure 12: </w:t>
        </w:r>
        <w:r w:rsidRPr="006E1CCD">
          <w:rPr>
            <w:rStyle w:val="Hyperlink"/>
            <w:noProof/>
            <w:lang w:val="en-GB"/>
          </w:rPr>
          <w:t>Dust detection using MSG/SEVIRI. Left RGB composition for dust, right quantitative retrieval (channel 7, 9, 10 = 8.70, 10.80, 12.0 micron). (Romano et al.,2013).</w:t>
        </w:r>
        <w:r>
          <w:rPr>
            <w:noProof/>
            <w:webHidden/>
          </w:rPr>
          <w:tab/>
        </w:r>
        <w:r>
          <w:rPr>
            <w:noProof/>
            <w:webHidden/>
          </w:rPr>
          <w:fldChar w:fldCharType="begin"/>
        </w:r>
        <w:r>
          <w:rPr>
            <w:noProof/>
            <w:webHidden/>
          </w:rPr>
          <w:instrText xml:space="preserve"> PAGEREF _Toc460923869 \h </w:instrText>
        </w:r>
        <w:r>
          <w:rPr>
            <w:noProof/>
            <w:webHidden/>
          </w:rPr>
        </w:r>
        <w:r>
          <w:rPr>
            <w:noProof/>
            <w:webHidden/>
          </w:rPr>
          <w:fldChar w:fldCharType="separate"/>
        </w:r>
        <w:r w:rsidR="00ED66C2">
          <w:rPr>
            <w:noProof/>
            <w:webHidden/>
          </w:rPr>
          <w:t>25</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0" w:history="1">
        <w:r w:rsidRPr="006E1CCD">
          <w:rPr>
            <w:rStyle w:val="Hyperlink"/>
            <w:noProof/>
          </w:rPr>
          <w:t xml:space="preserve">Figure 13: A volcanic ash plume from Mount Rinjani extends westward over Bali, Indonesia on November 3, 2015 (21:40 UTC).  The ash emissions from Mount Rinjani, automatically detected and characterized using the NOAA/NESDIS/STAR volcanic cloud algorithms and Himawari-8 satellite measurements, are shown. More specifically, multi-spectral imagery (top left), ash cloud height (top right), ash effective radius (bottom left), and ash loading (bottom right), derived from Himawari-8, are shown. (Images are courtesy of M. Pavolonis </w:t>
        </w:r>
        <w:r w:rsidRPr="006E1CCD">
          <w:rPr>
            <w:rStyle w:val="Hyperlink"/>
            <w:rFonts w:cstheme="minorHAnsi"/>
            <w:noProof/>
          </w:rPr>
          <w:t>NOAA NESDIS Center for Satellite Applications and Research (STAR)</w:t>
        </w:r>
        <w:r w:rsidRPr="006E1CCD">
          <w:rPr>
            <w:rStyle w:val="Hyperlink"/>
            <w:noProof/>
          </w:rPr>
          <w:t>).</w:t>
        </w:r>
        <w:r>
          <w:rPr>
            <w:noProof/>
            <w:webHidden/>
          </w:rPr>
          <w:tab/>
        </w:r>
        <w:r>
          <w:rPr>
            <w:noProof/>
            <w:webHidden/>
          </w:rPr>
          <w:fldChar w:fldCharType="begin"/>
        </w:r>
        <w:r>
          <w:rPr>
            <w:noProof/>
            <w:webHidden/>
          </w:rPr>
          <w:instrText xml:space="preserve"> PAGEREF _Toc460923870 \h </w:instrText>
        </w:r>
        <w:r>
          <w:rPr>
            <w:noProof/>
            <w:webHidden/>
          </w:rPr>
        </w:r>
        <w:r>
          <w:rPr>
            <w:noProof/>
            <w:webHidden/>
          </w:rPr>
          <w:fldChar w:fldCharType="separate"/>
        </w:r>
        <w:r w:rsidR="00ED66C2">
          <w:rPr>
            <w:noProof/>
            <w:webHidden/>
          </w:rPr>
          <w:t>26</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1" w:history="1">
        <w:r w:rsidRPr="006E1CCD">
          <w:rPr>
            <w:rStyle w:val="Hyperlink"/>
            <w:noProof/>
          </w:rPr>
          <w:t>Figure 14:</w:t>
        </w:r>
        <w:r w:rsidRPr="006E1CCD">
          <w:rPr>
            <w:rStyle w:val="Hyperlink"/>
            <w:rFonts w:ascii="Arial" w:eastAsia="Times New Roman" w:hAnsi="Arial" w:cs="Arial"/>
            <w:noProof/>
          </w:rPr>
          <w:t xml:space="preserve"> </w:t>
        </w:r>
        <w:r w:rsidRPr="006E1CCD">
          <w:rPr>
            <w:rStyle w:val="Hyperlink"/>
            <w:noProof/>
          </w:rPr>
          <w:t>An example analysis from the WMO Satellite-derived Volcanic Ash Inter-comparison Activity:  Volcanic ash RGB (left), retrieved Ash/Dust loading (right), CALIOP 532 nm backscatter with retrieved ash cloud heights (bottom). (</w:t>
        </w:r>
        <w:r w:rsidRPr="006E1CCD">
          <w:rPr>
            <w:rStyle w:val="Hyperlink"/>
            <w:rFonts w:cstheme="minorHAnsi"/>
            <w:noProof/>
          </w:rPr>
          <w:t>Pavolonis, 2015)</w:t>
        </w:r>
        <w:r w:rsidRPr="006E1CCD">
          <w:rPr>
            <w:rStyle w:val="Hyperlink"/>
            <w:noProof/>
            <w:lang w:eastAsia="en-GB"/>
          </w:rPr>
          <w:t>.</w:t>
        </w:r>
        <w:r>
          <w:rPr>
            <w:noProof/>
            <w:webHidden/>
          </w:rPr>
          <w:tab/>
        </w:r>
        <w:r>
          <w:rPr>
            <w:noProof/>
            <w:webHidden/>
          </w:rPr>
          <w:fldChar w:fldCharType="begin"/>
        </w:r>
        <w:r>
          <w:rPr>
            <w:noProof/>
            <w:webHidden/>
          </w:rPr>
          <w:instrText xml:space="preserve"> PAGEREF _Toc460923871 \h </w:instrText>
        </w:r>
        <w:r>
          <w:rPr>
            <w:noProof/>
            <w:webHidden/>
          </w:rPr>
        </w:r>
        <w:r>
          <w:rPr>
            <w:noProof/>
            <w:webHidden/>
          </w:rPr>
          <w:fldChar w:fldCharType="separate"/>
        </w:r>
        <w:r w:rsidR="00ED66C2">
          <w:rPr>
            <w:noProof/>
            <w:webHidden/>
          </w:rPr>
          <w:t>27</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2" w:history="1">
        <w:r w:rsidRPr="006E1CCD">
          <w:rPr>
            <w:rStyle w:val="Hyperlink"/>
            <w:noProof/>
          </w:rPr>
          <w:t xml:space="preserve">Figure 15: </w:t>
        </w:r>
        <w:r w:rsidRPr="006E1CCD">
          <w:rPr>
            <w:rStyle w:val="Hyperlink"/>
            <w:noProof/>
            <w:lang w:val="en-GB"/>
          </w:rPr>
          <w:t>SST from Himawari-8 using GOES-R algorithm (</w:t>
        </w:r>
        <w:r w:rsidRPr="006E1CCD">
          <w:rPr>
            <w:rStyle w:val="Hyperlink"/>
            <w:rFonts w:cstheme="minorHAnsi"/>
            <w:noProof/>
          </w:rPr>
          <w:t>Courtesy A. Ignatov, NOAA NESDIS Center for Satellite Applications and Research (STAR)).</w:t>
        </w:r>
        <w:r>
          <w:rPr>
            <w:noProof/>
            <w:webHidden/>
          </w:rPr>
          <w:tab/>
        </w:r>
        <w:r>
          <w:rPr>
            <w:noProof/>
            <w:webHidden/>
          </w:rPr>
          <w:fldChar w:fldCharType="begin"/>
        </w:r>
        <w:r>
          <w:rPr>
            <w:noProof/>
            <w:webHidden/>
          </w:rPr>
          <w:instrText xml:space="preserve"> PAGEREF _Toc460923872 \h </w:instrText>
        </w:r>
        <w:r>
          <w:rPr>
            <w:noProof/>
            <w:webHidden/>
          </w:rPr>
        </w:r>
        <w:r>
          <w:rPr>
            <w:noProof/>
            <w:webHidden/>
          </w:rPr>
          <w:fldChar w:fldCharType="separate"/>
        </w:r>
        <w:r w:rsidR="00ED66C2">
          <w:rPr>
            <w:noProof/>
            <w:webHidden/>
          </w:rPr>
          <w:t>30</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3" w:history="1">
        <w:r w:rsidRPr="006E1CCD">
          <w:rPr>
            <w:rStyle w:val="Hyperlink"/>
            <w:noProof/>
          </w:rPr>
          <w:t xml:space="preserve">Figure 16: </w:t>
        </w:r>
        <w:r w:rsidRPr="006E1CCD">
          <w:rPr>
            <w:rStyle w:val="Hyperlink"/>
            <w:noProof/>
            <w:lang w:val="en-GB"/>
          </w:rPr>
          <w:t>Impact of application of GSICS corrections to the retrieval of SST Uncorrected SSTs observations (top left day-time, top right night-time) and associated GSICS corrected observations (bottom</w:t>
        </w:r>
        <w:r w:rsidRPr="006E1CCD">
          <w:rPr>
            <w:rStyle w:val="Hyperlink"/>
            <w:rFonts w:cstheme="minorHAnsi"/>
            <w:noProof/>
            <w:lang w:val="en-GB"/>
          </w:rPr>
          <w:t>) (</w:t>
        </w:r>
        <w:r w:rsidRPr="006E1CCD">
          <w:rPr>
            <w:rStyle w:val="Hyperlink"/>
            <w:noProof/>
            <w:shd w:val="clear" w:color="auto" w:fill="FFFFFF"/>
          </w:rPr>
          <w:t>CGMS-44-KMA-WP-01</w:t>
        </w:r>
        <w:r w:rsidRPr="006E1CCD">
          <w:rPr>
            <w:rStyle w:val="Hyperlink"/>
            <w:rFonts w:cstheme="minorHAnsi"/>
            <w:noProof/>
            <w:lang w:val="en-GB"/>
          </w:rPr>
          <w:t>, 2016).</w:t>
        </w:r>
        <w:r>
          <w:rPr>
            <w:noProof/>
            <w:webHidden/>
          </w:rPr>
          <w:tab/>
        </w:r>
        <w:r>
          <w:rPr>
            <w:noProof/>
            <w:webHidden/>
          </w:rPr>
          <w:fldChar w:fldCharType="begin"/>
        </w:r>
        <w:r>
          <w:rPr>
            <w:noProof/>
            <w:webHidden/>
          </w:rPr>
          <w:instrText xml:space="preserve"> PAGEREF _Toc460923873 \h </w:instrText>
        </w:r>
        <w:r>
          <w:rPr>
            <w:noProof/>
            <w:webHidden/>
          </w:rPr>
        </w:r>
        <w:r>
          <w:rPr>
            <w:noProof/>
            <w:webHidden/>
          </w:rPr>
          <w:fldChar w:fldCharType="separate"/>
        </w:r>
        <w:r w:rsidR="00ED66C2">
          <w:rPr>
            <w:noProof/>
            <w:webHidden/>
          </w:rPr>
          <w:t>30</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4" w:history="1">
        <w:r w:rsidRPr="006E1CCD">
          <w:rPr>
            <w:rStyle w:val="Hyperlink"/>
            <w:noProof/>
          </w:rPr>
          <w:t xml:space="preserve">Figure 17: </w:t>
        </w:r>
        <w:r w:rsidRPr="006E1CCD">
          <w:rPr>
            <w:rStyle w:val="Hyperlink"/>
            <w:noProof/>
            <w:lang w:val="en-GB"/>
          </w:rPr>
          <w:t xml:space="preserve">SST diurnal cycle as depicted by satellite data vs buoy data. </w:t>
        </w:r>
        <w:r w:rsidRPr="006E1CCD">
          <w:rPr>
            <w:rStyle w:val="Hyperlink"/>
            <w:rFonts w:cstheme="minorHAnsi"/>
            <w:noProof/>
            <w:lang w:val="en-GB"/>
          </w:rPr>
          <w:t>(</w:t>
        </w:r>
        <w:r w:rsidRPr="006E1CCD">
          <w:rPr>
            <w:rStyle w:val="Hyperlink"/>
            <w:rFonts w:cstheme="minorHAnsi"/>
            <w:noProof/>
          </w:rPr>
          <w:t xml:space="preserve">Le Borgne et al, </w:t>
        </w:r>
        <w:r w:rsidRPr="006E1CCD">
          <w:rPr>
            <w:rStyle w:val="Hyperlink"/>
            <w:noProof/>
          </w:rPr>
          <w:t>2012).</w:t>
        </w:r>
        <w:r>
          <w:rPr>
            <w:noProof/>
            <w:webHidden/>
          </w:rPr>
          <w:tab/>
        </w:r>
        <w:r>
          <w:rPr>
            <w:noProof/>
            <w:webHidden/>
          </w:rPr>
          <w:fldChar w:fldCharType="begin"/>
        </w:r>
        <w:r>
          <w:rPr>
            <w:noProof/>
            <w:webHidden/>
          </w:rPr>
          <w:instrText xml:space="preserve"> PAGEREF _Toc460923874 \h </w:instrText>
        </w:r>
        <w:r>
          <w:rPr>
            <w:noProof/>
            <w:webHidden/>
          </w:rPr>
        </w:r>
        <w:r>
          <w:rPr>
            <w:noProof/>
            <w:webHidden/>
          </w:rPr>
          <w:fldChar w:fldCharType="separate"/>
        </w:r>
        <w:r w:rsidR="00ED66C2">
          <w:rPr>
            <w:noProof/>
            <w:webHidden/>
          </w:rPr>
          <w:t>31</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5" w:history="1">
        <w:r w:rsidRPr="006E1CCD">
          <w:rPr>
            <w:rStyle w:val="Hyperlink"/>
            <w:noProof/>
          </w:rPr>
          <w:t>Figure 18: SST gradients (left) and associated eddy trajectories (right). (Legeckis and Le Borgne, 2009).</w:t>
        </w:r>
        <w:r>
          <w:rPr>
            <w:noProof/>
            <w:webHidden/>
          </w:rPr>
          <w:tab/>
        </w:r>
        <w:r>
          <w:rPr>
            <w:noProof/>
            <w:webHidden/>
          </w:rPr>
          <w:fldChar w:fldCharType="begin"/>
        </w:r>
        <w:r>
          <w:rPr>
            <w:noProof/>
            <w:webHidden/>
          </w:rPr>
          <w:instrText xml:space="preserve"> PAGEREF _Toc460923875 \h </w:instrText>
        </w:r>
        <w:r>
          <w:rPr>
            <w:noProof/>
            <w:webHidden/>
          </w:rPr>
        </w:r>
        <w:r>
          <w:rPr>
            <w:noProof/>
            <w:webHidden/>
          </w:rPr>
          <w:fldChar w:fldCharType="separate"/>
        </w:r>
        <w:r w:rsidR="00ED66C2">
          <w:rPr>
            <w:noProof/>
            <w:webHidden/>
          </w:rPr>
          <w:t>31</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6" w:history="1">
        <w:r w:rsidRPr="006E1CCD">
          <w:rPr>
            <w:rStyle w:val="Hyperlink"/>
            <w:noProof/>
          </w:rPr>
          <w:t>Figure 19: The TurtleWatch map for 19-21 February 2011. The small grey arrows show the direction and strength of the average ocean currents over the most recent week of available data. The solid black lines and the red-brown area in between mark the 63.5°F to 65.5°F temperature area and that should be avoided for fishing.</w:t>
        </w:r>
        <w:r>
          <w:rPr>
            <w:noProof/>
            <w:webHidden/>
          </w:rPr>
          <w:tab/>
        </w:r>
        <w:r>
          <w:rPr>
            <w:noProof/>
            <w:webHidden/>
          </w:rPr>
          <w:fldChar w:fldCharType="begin"/>
        </w:r>
        <w:r>
          <w:rPr>
            <w:noProof/>
            <w:webHidden/>
          </w:rPr>
          <w:instrText xml:space="preserve"> PAGEREF _Toc460923876 \h </w:instrText>
        </w:r>
        <w:r>
          <w:rPr>
            <w:noProof/>
            <w:webHidden/>
          </w:rPr>
        </w:r>
        <w:r>
          <w:rPr>
            <w:noProof/>
            <w:webHidden/>
          </w:rPr>
          <w:fldChar w:fldCharType="separate"/>
        </w:r>
        <w:r w:rsidR="00ED66C2">
          <w:rPr>
            <w:noProof/>
            <w:webHidden/>
          </w:rPr>
          <w:t>32</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7" w:history="1">
        <w:r w:rsidRPr="006E1CCD">
          <w:rPr>
            <w:rStyle w:val="Hyperlink"/>
            <w:noProof/>
          </w:rPr>
          <w:t xml:space="preserve">Figure 20: </w:t>
        </w:r>
        <w:r w:rsidRPr="006E1CCD">
          <w:rPr>
            <w:rStyle w:val="Hyperlink"/>
            <w:noProof/>
            <w:lang w:val="en-GB"/>
          </w:rPr>
          <w:t>(a) SEVIRI-based sea-ice map over the northern part of the Caspian Sea on 28 February 2007 at 11 h 15m AM UTC and (b) the MODIS true-colour image for the same day. (Temimi et al., 2011).</w:t>
        </w:r>
        <w:r>
          <w:rPr>
            <w:noProof/>
            <w:webHidden/>
          </w:rPr>
          <w:tab/>
        </w:r>
        <w:r>
          <w:rPr>
            <w:noProof/>
            <w:webHidden/>
          </w:rPr>
          <w:fldChar w:fldCharType="begin"/>
        </w:r>
        <w:r>
          <w:rPr>
            <w:noProof/>
            <w:webHidden/>
          </w:rPr>
          <w:instrText xml:space="preserve"> PAGEREF _Toc460923877 \h </w:instrText>
        </w:r>
        <w:r>
          <w:rPr>
            <w:noProof/>
            <w:webHidden/>
          </w:rPr>
        </w:r>
        <w:r>
          <w:rPr>
            <w:noProof/>
            <w:webHidden/>
          </w:rPr>
          <w:fldChar w:fldCharType="separate"/>
        </w:r>
        <w:r w:rsidR="00ED66C2">
          <w:rPr>
            <w:noProof/>
            <w:webHidden/>
          </w:rPr>
          <w:t>33</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8" w:history="1">
        <w:r w:rsidRPr="006E1CCD">
          <w:rPr>
            <w:rStyle w:val="Hyperlink"/>
            <w:noProof/>
          </w:rPr>
          <w:t xml:space="preserve">Figure 21: </w:t>
        </w:r>
        <w:r w:rsidRPr="006E1CCD">
          <w:rPr>
            <w:rStyle w:val="Hyperlink"/>
            <w:noProof/>
            <w:lang w:val="en-GB"/>
          </w:rPr>
          <w:t xml:space="preserve">Concentration of Total Suspended Matter (TSM) in the North Sea, derived from SEVIRI imagery </w:t>
        </w:r>
        <w:r w:rsidRPr="006E1CCD">
          <w:rPr>
            <w:rStyle w:val="Hyperlink"/>
            <w:noProof/>
          </w:rPr>
          <w:t>(Neukermans et al., 2009).</w:t>
        </w:r>
        <w:r>
          <w:rPr>
            <w:noProof/>
            <w:webHidden/>
          </w:rPr>
          <w:tab/>
        </w:r>
        <w:r>
          <w:rPr>
            <w:noProof/>
            <w:webHidden/>
          </w:rPr>
          <w:fldChar w:fldCharType="begin"/>
        </w:r>
        <w:r>
          <w:rPr>
            <w:noProof/>
            <w:webHidden/>
          </w:rPr>
          <w:instrText xml:space="preserve"> PAGEREF _Toc460923878 \h </w:instrText>
        </w:r>
        <w:r>
          <w:rPr>
            <w:noProof/>
            <w:webHidden/>
          </w:rPr>
        </w:r>
        <w:r>
          <w:rPr>
            <w:noProof/>
            <w:webHidden/>
          </w:rPr>
          <w:fldChar w:fldCharType="separate"/>
        </w:r>
        <w:r w:rsidR="00ED66C2">
          <w:rPr>
            <w:noProof/>
            <w:webHidden/>
          </w:rPr>
          <w:t>34</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79" w:history="1">
        <w:r w:rsidRPr="006E1CCD">
          <w:rPr>
            <w:rStyle w:val="Hyperlink"/>
            <w:noProof/>
          </w:rPr>
          <w:t>Figure 22: Comparison of a daily composite of SEVIRI turbidity data (T, FNU) with a single daily MODIS-Aqua observation (</w:t>
        </w:r>
        <w:r w:rsidRPr="006E1CCD">
          <w:rPr>
            <w:rStyle w:val="Hyperlink"/>
            <w:rFonts w:eastAsia="Cambria"/>
            <w:noProof/>
            <w:lang w:val="fr-FR"/>
          </w:rPr>
          <w:t>Neukermans, 2012).</w:t>
        </w:r>
        <w:r>
          <w:rPr>
            <w:noProof/>
            <w:webHidden/>
          </w:rPr>
          <w:tab/>
        </w:r>
        <w:r>
          <w:rPr>
            <w:noProof/>
            <w:webHidden/>
          </w:rPr>
          <w:fldChar w:fldCharType="begin"/>
        </w:r>
        <w:r>
          <w:rPr>
            <w:noProof/>
            <w:webHidden/>
          </w:rPr>
          <w:instrText xml:space="preserve"> PAGEREF _Toc460923879 \h </w:instrText>
        </w:r>
        <w:r>
          <w:rPr>
            <w:noProof/>
            <w:webHidden/>
          </w:rPr>
        </w:r>
        <w:r>
          <w:rPr>
            <w:noProof/>
            <w:webHidden/>
          </w:rPr>
          <w:fldChar w:fldCharType="separate"/>
        </w:r>
        <w:r w:rsidR="00ED66C2">
          <w:rPr>
            <w:noProof/>
            <w:webHidden/>
          </w:rPr>
          <w:t>34</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0" w:history="1">
        <w:r w:rsidRPr="006E1CCD">
          <w:rPr>
            <w:rStyle w:val="Hyperlink"/>
            <w:noProof/>
          </w:rPr>
          <w:t>Figure 23: Coccolithophore bloom as observed by MSG/SEVIRI (Vanhellemont et al., 2013).</w:t>
        </w:r>
        <w:r>
          <w:rPr>
            <w:noProof/>
            <w:webHidden/>
          </w:rPr>
          <w:tab/>
        </w:r>
        <w:r>
          <w:rPr>
            <w:noProof/>
            <w:webHidden/>
          </w:rPr>
          <w:fldChar w:fldCharType="begin"/>
        </w:r>
        <w:r>
          <w:rPr>
            <w:noProof/>
            <w:webHidden/>
          </w:rPr>
          <w:instrText xml:space="preserve"> PAGEREF _Toc460923880 \h </w:instrText>
        </w:r>
        <w:r>
          <w:rPr>
            <w:noProof/>
            <w:webHidden/>
          </w:rPr>
        </w:r>
        <w:r>
          <w:rPr>
            <w:noProof/>
            <w:webHidden/>
          </w:rPr>
          <w:fldChar w:fldCharType="separate"/>
        </w:r>
        <w:r w:rsidR="00ED66C2">
          <w:rPr>
            <w:noProof/>
            <w:webHidden/>
          </w:rPr>
          <w:t>34</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1" w:history="1">
        <w:r w:rsidRPr="006E1CCD">
          <w:rPr>
            <w:rStyle w:val="Hyperlink"/>
            <w:noProof/>
          </w:rPr>
          <w:t>Figure 24: Blue-green algae monitoring of Taihu Lake using Himawari-8 satellite data on Sep 8 2015. (</w:t>
        </w:r>
        <w:r w:rsidRPr="006E1CCD">
          <w:rPr>
            <w:rStyle w:val="Hyperlink"/>
            <w:noProof/>
            <w:shd w:val="clear" w:color="auto" w:fill="FFFFFF"/>
          </w:rPr>
          <w:t>CGMS-44-CMA-WP-01,</w:t>
        </w:r>
        <w:r w:rsidRPr="006E1CCD">
          <w:rPr>
            <w:rStyle w:val="Hyperlink"/>
            <w:rFonts w:cstheme="minorHAnsi"/>
            <w:noProof/>
            <w:lang w:val="en-GB"/>
          </w:rPr>
          <w:t xml:space="preserve"> 2016).</w:t>
        </w:r>
        <w:r>
          <w:rPr>
            <w:noProof/>
            <w:webHidden/>
          </w:rPr>
          <w:tab/>
        </w:r>
        <w:r>
          <w:rPr>
            <w:noProof/>
            <w:webHidden/>
          </w:rPr>
          <w:fldChar w:fldCharType="begin"/>
        </w:r>
        <w:r>
          <w:rPr>
            <w:noProof/>
            <w:webHidden/>
          </w:rPr>
          <w:instrText xml:space="preserve"> PAGEREF _Toc460923881 \h </w:instrText>
        </w:r>
        <w:r>
          <w:rPr>
            <w:noProof/>
            <w:webHidden/>
          </w:rPr>
        </w:r>
        <w:r>
          <w:rPr>
            <w:noProof/>
            <w:webHidden/>
          </w:rPr>
          <w:fldChar w:fldCharType="separate"/>
        </w:r>
        <w:r w:rsidR="00ED66C2">
          <w:rPr>
            <w:noProof/>
            <w:webHidden/>
          </w:rPr>
          <w:t>35</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2" w:history="1">
        <w:r w:rsidRPr="006E1CCD">
          <w:rPr>
            <w:rStyle w:val="Hyperlink"/>
            <w:noProof/>
          </w:rPr>
          <w:t>Figure 25: Averaged chlorophyll-a retrieved from Himawari-8 observations 01:00-01:50 UTC on 20 July 2015 for the wider Asia-Pacific region (left) and inter-comparison of Himawari-8 retrievals with MODIS daily Level 3 (right) (Murakami, 2016).</w:t>
        </w:r>
        <w:r>
          <w:rPr>
            <w:noProof/>
            <w:webHidden/>
          </w:rPr>
          <w:tab/>
        </w:r>
        <w:r>
          <w:rPr>
            <w:noProof/>
            <w:webHidden/>
          </w:rPr>
          <w:fldChar w:fldCharType="begin"/>
        </w:r>
        <w:r>
          <w:rPr>
            <w:noProof/>
            <w:webHidden/>
          </w:rPr>
          <w:instrText xml:space="preserve"> PAGEREF _Toc460923882 \h </w:instrText>
        </w:r>
        <w:r>
          <w:rPr>
            <w:noProof/>
            <w:webHidden/>
          </w:rPr>
        </w:r>
        <w:r>
          <w:rPr>
            <w:noProof/>
            <w:webHidden/>
          </w:rPr>
          <w:fldChar w:fldCharType="separate"/>
        </w:r>
        <w:r w:rsidR="00ED66C2">
          <w:rPr>
            <w:noProof/>
            <w:webHidden/>
          </w:rPr>
          <w:t>35</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3" w:history="1">
        <w:r w:rsidRPr="006E1CCD">
          <w:rPr>
            <w:rStyle w:val="Hyperlink"/>
            <w:noProof/>
          </w:rPr>
          <w:t>Figure 26: EUMETSAT Land SAF FRP product from MSG/SEVIRI (Roberts et al., 2015).</w:t>
        </w:r>
        <w:r>
          <w:rPr>
            <w:noProof/>
            <w:webHidden/>
          </w:rPr>
          <w:tab/>
        </w:r>
        <w:r>
          <w:rPr>
            <w:noProof/>
            <w:webHidden/>
          </w:rPr>
          <w:fldChar w:fldCharType="begin"/>
        </w:r>
        <w:r>
          <w:rPr>
            <w:noProof/>
            <w:webHidden/>
          </w:rPr>
          <w:instrText xml:space="preserve"> PAGEREF _Toc460923883 \h </w:instrText>
        </w:r>
        <w:r>
          <w:rPr>
            <w:noProof/>
            <w:webHidden/>
          </w:rPr>
        </w:r>
        <w:r>
          <w:rPr>
            <w:noProof/>
            <w:webHidden/>
          </w:rPr>
          <w:fldChar w:fldCharType="separate"/>
        </w:r>
        <w:r w:rsidR="00ED66C2">
          <w:rPr>
            <w:noProof/>
            <w:webHidden/>
          </w:rPr>
          <w:t>37</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4" w:history="1">
        <w:r w:rsidRPr="006E1CCD">
          <w:rPr>
            <w:rStyle w:val="Hyperlink"/>
            <w:noProof/>
          </w:rPr>
          <w:t xml:space="preserve">Figure 27: </w:t>
        </w:r>
        <w:r w:rsidRPr="006E1CCD">
          <w:rPr>
            <w:rStyle w:val="Hyperlink"/>
            <w:noProof/>
            <w:lang w:val="en-CA"/>
          </w:rPr>
          <w:t>LSA SAF SEVIRI FRP-PIXEL Product captures peaks better than MODIS (</w:t>
        </w:r>
        <w:r w:rsidRPr="006E1CCD">
          <w:rPr>
            <w:rStyle w:val="Hyperlink"/>
            <w:noProof/>
            <w:lang w:val="en-GB"/>
          </w:rPr>
          <w:t>Baldassarre et al., 2015).</w:t>
        </w:r>
        <w:r>
          <w:rPr>
            <w:noProof/>
            <w:webHidden/>
          </w:rPr>
          <w:tab/>
        </w:r>
        <w:r>
          <w:rPr>
            <w:noProof/>
            <w:webHidden/>
          </w:rPr>
          <w:fldChar w:fldCharType="begin"/>
        </w:r>
        <w:r>
          <w:rPr>
            <w:noProof/>
            <w:webHidden/>
          </w:rPr>
          <w:instrText xml:space="preserve"> PAGEREF _Toc460923884 \h </w:instrText>
        </w:r>
        <w:r>
          <w:rPr>
            <w:noProof/>
            <w:webHidden/>
          </w:rPr>
        </w:r>
        <w:r>
          <w:rPr>
            <w:noProof/>
            <w:webHidden/>
          </w:rPr>
          <w:fldChar w:fldCharType="separate"/>
        </w:r>
        <w:r w:rsidR="00ED66C2">
          <w:rPr>
            <w:noProof/>
            <w:webHidden/>
          </w:rPr>
          <w:t>38</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5" w:history="1">
        <w:r w:rsidRPr="006E1CCD">
          <w:rPr>
            <w:rStyle w:val="Hyperlink"/>
            <w:noProof/>
          </w:rPr>
          <w:t>Figure 28: Land Surface Temperature for derived from MSG/SEVIRI (CGMS-44-EUMETSAT-WP-34 , 2016).As geostationary satellite imagers have since the very beginning contained observations in the infrared window region and today also with split window capabilities it is possible to derive consistent LST for the geo-ring. The accuracy and consistency of those observations will improve with the enhanced capabilities of the full geo-ring that enables higher temporal and spatial resolution observations with multispectral capabilities for cloud detection.</w:t>
        </w:r>
        <w:r>
          <w:rPr>
            <w:noProof/>
            <w:webHidden/>
          </w:rPr>
          <w:tab/>
        </w:r>
        <w:r>
          <w:rPr>
            <w:noProof/>
            <w:webHidden/>
          </w:rPr>
          <w:fldChar w:fldCharType="begin"/>
        </w:r>
        <w:r>
          <w:rPr>
            <w:noProof/>
            <w:webHidden/>
          </w:rPr>
          <w:instrText xml:space="preserve"> PAGEREF _Toc460923885 \h </w:instrText>
        </w:r>
        <w:r>
          <w:rPr>
            <w:noProof/>
            <w:webHidden/>
          </w:rPr>
        </w:r>
        <w:r>
          <w:rPr>
            <w:noProof/>
            <w:webHidden/>
          </w:rPr>
          <w:fldChar w:fldCharType="separate"/>
        </w:r>
        <w:r w:rsidR="00ED66C2">
          <w:rPr>
            <w:noProof/>
            <w:webHidden/>
          </w:rPr>
          <w:t>39</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6" w:history="1">
        <w:r w:rsidRPr="006E1CCD">
          <w:rPr>
            <w:rStyle w:val="Hyperlink"/>
            <w:noProof/>
          </w:rPr>
          <w:t xml:space="preserve">Figure 29: </w:t>
        </w:r>
        <w:r w:rsidRPr="006E1CCD">
          <w:rPr>
            <w:rStyle w:val="Hyperlink"/>
            <w:noProof/>
            <w:lang w:val="pt-PT"/>
          </w:rPr>
          <w:t xml:space="preserve">In the framework of the Copernicus GL, besides the hourly </w:t>
        </w:r>
        <w:r w:rsidRPr="006E1CCD">
          <w:rPr>
            <w:rStyle w:val="Hyperlink"/>
            <w:noProof/>
          </w:rPr>
          <w:t>LST, also dekad composites are provided together with the Thermal Condition Index based on a multi-year climatology. (CGMS-44-EUMETSAT-WP-34 , 2016).</w:t>
        </w:r>
        <w:r>
          <w:rPr>
            <w:noProof/>
            <w:webHidden/>
          </w:rPr>
          <w:tab/>
        </w:r>
        <w:r>
          <w:rPr>
            <w:noProof/>
            <w:webHidden/>
          </w:rPr>
          <w:fldChar w:fldCharType="begin"/>
        </w:r>
        <w:r>
          <w:rPr>
            <w:noProof/>
            <w:webHidden/>
          </w:rPr>
          <w:instrText xml:space="preserve"> PAGEREF _Toc460923886 \h </w:instrText>
        </w:r>
        <w:r>
          <w:rPr>
            <w:noProof/>
            <w:webHidden/>
          </w:rPr>
        </w:r>
        <w:r>
          <w:rPr>
            <w:noProof/>
            <w:webHidden/>
          </w:rPr>
          <w:fldChar w:fldCharType="separate"/>
        </w:r>
        <w:r w:rsidR="00ED66C2">
          <w:rPr>
            <w:noProof/>
            <w:webHidden/>
          </w:rPr>
          <w:t>39</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7" w:history="1">
        <w:r w:rsidRPr="006E1CCD">
          <w:rPr>
            <w:rStyle w:val="Hyperlink"/>
            <w:noProof/>
          </w:rPr>
          <w:t xml:space="preserve">Figure 30: </w:t>
        </w:r>
        <w:r w:rsidRPr="006E1CCD">
          <w:rPr>
            <w:rStyle w:val="Hyperlink"/>
            <w:noProof/>
            <w:lang w:val="en-GB"/>
          </w:rPr>
          <w:t xml:space="preserve">Simulated GOES-R </w:t>
        </w:r>
        <w:r w:rsidRPr="006E1CCD">
          <w:rPr>
            <w:rStyle w:val="Hyperlink"/>
            <w:noProof/>
          </w:rPr>
          <w:t>ABI Fractional Snow Cover from GOESRSCAG processing of proxy ABI data from Moderate Resolution Imaging Spectroradiometer (MODIS), March 1, 2009 (Cline et al., 2010).</w:t>
        </w:r>
        <w:r>
          <w:rPr>
            <w:noProof/>
            <w:webHidden/>
          </w:rPr>
          <w:tab/>
        </w:r>
        <w:r>
          <w:rPr>
            <w:noProof/>
            <w:webHidden/>
          </w:rPr>
          <w:fldChar w:fldCharType="begin"/>
        </w:r>
        <w:r>
          <w:rPr>
            <w:noProof/>
            <w:webHidden/>
          </w:rPr>
          <w:instrText xml:space="preserve"> PAGEREF _Toc460923887 \h </w:instrText>
        </w:r>
        <w:r>
          <w:rPr>
            <w:noProof/>
            <w:webHidden/>
          </w:rPr>
        </w:r>
        <w:r>
          <w:rPr>
            <w:noProof/>
            <w:webHidden/>
          </w:rPr>
          <w:fldChar w:fldCharType="separate"/>
        </w:r>
        <w:r w:rsidR="00ED66C2">
          <w:rPr>
            <w:noProof/>
            <w:webHidden/>
          </w:rPr>
          <w:t>40</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8" w:history="1">
        <w:r w:rsidRPr="006E1CCD">
          <w:rPr>
            <w:rStyle w:val="Hyperlink"/>
            <w:noProof/>
          </w:rPr>
          <w:t xml:space="preserve">Figure 31: </w:t>
        </w:r>
        <w:r w:rsidRPr="006E1CCD">
          <w:rPr>
            <w:rStyle w:val="Hyperlink"/>
            <w:noProof/>
            <w:lang w:val="en-GB"/>
          </w:rPr>
          <w:t>Flood mapping over China using SNPP/VIIRS three-day composite(7-9 July 2016, left) and Himawari 8 one-data composite (7 July 2016, right). (Goldberg, 2016).</w:t>
        </w:r>
        <w:r>
          <w:rPr>
            <w:noProof/>
            <w:webHidden/>
          </w:rPr>
          <w:tab/>
        </w:r>
        <w:r>
          <w:rPr>
            <w:noProof/>
            <w:webHidden/>
          </w:rPr>
          <w:fldChar w:fldCharType="begin"/>
        </w:r>
        <w:r>
          <w:rPr>
            <w:noProof/>
            <w:webHidden/>
          </w:rPr>
          <w:instrText xml:space="preserve"> PAGEREF _Toc460923888 \h </w:instrText>
        </w:r>
        <w:r>
          <w:rPr>
            <w:noProof/>
            <w:webHidden/>
          </w:rPr>
        </w:r>
        <w:r>
          <w:rPr>
            <w:noProof/>
            <w:webHidden/>
          </w:rPr>
          <w:fldChar w:fldCharType="separate"/>
        </w:r>
        <w:r w:rsidR="00ED66C2">
          <w:rPr>
            <w:noProof/>
            <w:webHidden/>
          </w:rPr>
          <w:t>41</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89" w:history="1">
        <w:r w:rsidRPr="006E1CCD">
          <w:rPr>
            <w:rStyle w:val="Hyperlink"/>
            <w:noProof/>
          </w:rPr>
          <w:t xml:space="preserve">Figure 32: </w:t>
        </w:r>
        <w:r w:rsidRPr="006E1CCD">
          <w:rPr>
            <w:rStyle w:val="Hyperlink"/>
            <w:noProof/>
            <w:lang w:val="en-GB"/>
          </w:rPr>
          <w:t>Spatio-temporal dynamics of NDVI during a growing season</w:t>
        </w:r>
        <w:r w:rsidRPr="006E1CCD">
          <w:rPr>
            <w:rStyle w:val="Hyperlink"/>
            <w:noProof/>
          </w:rPr>
          <w:t xml:space="preserve"> using Insat-3A data. </w:t>
        </w:r>
        <w:r w:rsidRPr="006E1CCD">
          <w:rPr>
            <w:rStyle w:val="Hyperlink"/>
            <w:noProof/>
            <w:lang w:val="en-GB"/>
          </w:rPr>
          <w:t>[Nigam et al., 2011).</w:t>
        </w:r>
        <w:r>
          <w:rPr>
            <w:noProof/>
            <w:webHidden/>
          </w:rPr>
          <w:tab/>
        </w:r>
        <w:r>
          <w:rPr>
            <w:noProof/>
            <w:webHidden/>
          </w:rPr>
          <w:fldChar w:fldCharType="begin"/>
        </w:r>
        <w:r>
          <w:rPr>
            <w:noProof/>
            <w:webHidden/>
          </w:rPr>
          <w:instrText xml:space="preserve"> PAGEREF _Toc460923889 \h </w:instrText>
        </w:r>
        <w:r>
          <w:rPr>
            <w:noProof/>
            <w:webHidden/>
          </w:rPr>
        </w:r>
        <w:r>
          <w:rPr>
            <w:noProof/>
            <w:webHidden/>
          </w:rPr>
          <w:fldChar w:fldCharType="separate"/>
        </w:r>
        <w:r w:rsidR="00ED66C2">
          <w:rPr>
            <w:noProof/>
            <w:webHidden/>
          </w:rPr>
          <w:t>42</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90" w:history="1">
        <w:r w:rsidRPr="006E1CCD">
          <w:rPr>
            <w:rStyle w:val="Hyperlink"/>
            <w:noProof/>
          </w:rPr>
          <w:t xml:space="preserve">Figure 33: Drought monitoring in China using FY-2. </w:t>
        </w:r>
        <w:r w:rsidRPr="006E1CCD">
          <w:rPr>
            <w:rStyle w:val="Hyperlink"/>
            <w:noProof/>
            <w:lang w:val="en-US"/>
          </w:rPr>
          <w:t>FY-2D Percentage of  evapotranspiration anomaly in North of China and Huanghuai Region</w:t>
        </w:r>
        <w:r w:rsidRPr="006E1CCD">
          <w:rPr>
            <w:rStyle w:val="Hyperlink"/>
            <w:noProof/>
            <w:lang w:val="en-GB"/>
          </w:rPr>
          <w:t xml:space="preserve"> </w:t>
        </w:r>
        <w:r w:rsidRPr="006E1CCD">
          <w:rPr>
            <w:rStyle w:val="Hyperlink"/>
            <w:noProof/>
            <w:lang w:val="en-US"/>
          </w:rPr>
          <w:t>Jun.7-Jun.16,2015</w:t>
        </w:r>
        <w:r w:rsidRPr="006E1CCD">
          <w:rPr>
            <w:rStyle w:val="Hyperlink"/>
            <w:noProof/>
            <w:lang w:val="en-GB"/>
          </w:rPr>
          <w:t xml:space="preserve"> (left) and </w:t>
        </w:r>
        <w:r w:rsidRPr="006E1CCD">
          <w:rPr>
            <w:rStyle w:val="Hyperlink"/>
            <w:noProof/>
            <w:lang w:val="en-US"/>
          </w:rPr>
          <w:t>Jun.15-Jun.24,2015</w:t>
        </w:r>
        <w:r w:rsidRPr="006E1CCD">
          <w:rPr>
            <w:rStyle w:val="Hyperlink"/>
            <w:noProof/>
            <w:lang w:val="en-GB"/>
          </w:rPr>
          <w:t xml:space="preserve"> (right). Areas in white are cloud/snow, areas in light blue water. Colour scale ranging from black to dark blue is in percentage.</w:t>
        </w:r>
        <w:r w:rsidRPr="006E1CCD">
          <w:rPr>
            <w:rStyle w:val="Hyperlink"/>
            <w:noProof/>
          </w:rPr>
          <w:t xml:space="preserve"> </w:t>
        </w:r>
        <w:r w:rsidRPr="006E1CCD">
          <w:rPr>
            <w:rStyle w:val="Hyperlink"/>
            <w:noProof/>
            <w:shd w:val="clear" w:color="auto" w:fill="FFFFFF"/>
          </w:rPr>
          <w:t xml:space="preserve"> (CGMS-44-CMA-WP-01</w:t>
        </w:r>
        <w:r w:rsidRPr="006E1CCD">
          <w:rPr>
            <w:rStyle w:val="Hyperlink"/>
            <w:rFonts w:cstheme="minorHAnsi"/>
            <w:noProof/>
          </w:rPr>
          <w:t>, 2016).</w:t>
        </w:r>
        <w:r>
          <w:rPr>
            <w:noProof/>
            <w:webHidden/>
          </w:rPr>
          <w:tab/>
        </w:r>
        <w:r>
          <w:rPr>
            <w:noProof/>
            <w:webHidden/>
          </w:rPr>
          <w:fldChar w:fldCharType="begin"/>
        </w:r>
        <w:r>
          <w:rPr>
            <w:noProof/>
            <w:webHidden/>
          </w:rPr>
          <w:instrText xml:space="preserve"> PAGEREF _Toc460923890 \h </w:instrText>
        </w:r>
        <w:r>
          <w:rPr>
            <w:noProof/>
            <w:webHidden/>
          </w:rPr>
        </w:r>
        <w:r>
          <w:rPr>
            <w:noProof/>
            <w:webHidden/>
          </w:rPr>
          <w:fldChar w:fldCharType="separate"/>
        </w:r>
        <w:r w:rsidR="00ED66C2">
          <w:rPr>
            <w:noProof/>
            <w:webHidden/>
          </w:rPr>
          <w:t>43</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91" w:history="1">
        <w:r w:rsidRPr="006E1CCD">
          <w:rPr>
            <w:rStyle w:val="Hyperlink"/>
            <w:noProof/>
          </w:rPr>
          <w:t>Figure 34: GOES evapotranspiration GET-FD product. [http://www.ospo.noaa.gov/Products/land/getd/].</w:t>
        </w:r>
        <w:r>
          <w:rPr>
            <w:noProof/>
            <w:webHidden/>
          </w:rPr>
          <w:tab/>
        </w:r>
        <w:r>
          <w:rPr>
            <w:noProof/>
            <w:webHidden/>
          </w:rPr>
          <w:fldChar w:fldCharType="begin"/>
        </w:r>
        <w:r>
          <w:rPr>
            <w:noProof/>
            <w:webHidden/>
          </w:rPr>
          <w:instrText xml:space="preserve"> PAGEREF _Toc460923891 \h </w:instrText>
        </w:r>
        <w:r>
          <w:rPr>
            <w:noProof/>
            <w:webHidden/>
          </w:rPr>
        </w:r>
        <w:r>
          <w:rPr>
            <w:noProof/>
            <w:webHidden/>
          </w:rPr>
          <w:fldChar w:fldCharType="separate"/>
        </w:r>
        <w:r w:rsidR="00ED66C2">
          <w:rPr>
            <w:noProof/>
            <w:webHidden/>
          </w:rPr>
          <w:t>44</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92" w:history="1">
        <w:r w:rsidRPr="006E1CCD">
          <w:rPr>
            <w:rStyle w:val="Hyperlink"/>
            <w:noProof/>
          </w:rPr>
          <w:t xml:space="preserve">Figure 35: </w:t>
        </w:r>
        <w:r w:rsidRPr="006E1CCD">
          <w:rPr>
            <w:rStyle w:val="Hyperlink"/>
            <w:noProof/>
            <w:lang w:val="en-GB"/>
          </w:rPr>
          <w:t>D</w:t>
        </w:r>
        <w:r w:rsidRPr="006E1CCD">
          <w:rPr>
            <w:rStyle w:val="Hyperlink"/>
            <w:noProof/>
          </w:rPr>
          <w:t xml:space="preserve">rought determination using VHI (Vegetation Health </w:t>
        </w:r>
        <w:r w:rsidRPr="006E1CCD">
          <w:rPr>
            <w:rStyle w:val="Hyperlink"/>
            <w:rFonts w:cstheme="minorHAnsi"/>
            <w:noProof/>
          </w:rPr>
          <w:t>Index) (</w:t>
        </w:r>
        <w:r w:rsidRPr="006E1CCD">
          <w:rPr>
            <w:rStyle w:val="Hyperlink"/>
            <w:rFonts w:cstheme="minorHAnsi"/>
            <w:noProof/>
            <w:shd w:val="clear" w:color="auto" w:fill="FFFFFF"/>
          </w:rPr>
          <w:t xml:space="preserve">CGMS-44-KMA-WP-01, </w:t>
        </w:r>
        <w:r w:rsidRPr="006E1CCD">
          <w:rPr>
            <w:rStyle w:val="Hyperlink"/>
            <w:rFonts w:cstheme="minorHAnsi"/>
            <w:noProof/>
            <w:lang w:val="en-GB"/>
          </w:rPr>
          <w:t>2016).</w:t>
        </w:r>
        <w:r>
          <w:rPr>
            <w:noProof/>
            <w:webHidden/>
          </w:rPr>
          <w:tab/>
        </w:r>
        <w:r>
          <w:rPr>
            <w:noProof/>
            <w:webHidden/>
          </w:rPr>
          <w:fldChar w:fldCharType="begin"/>
        </w:r>
        <w:r>
          <w:rPr>
            <w:noProof/>
            <w:webHidden/>
          </w:rPr>
          <w:instrText xml:space="preserve"> PAGEREF _Toc460923892 \h </w:instrText>
        </w:r>
        <w:r>
          <w:rPr>
            <w:noProof/>
            <w:webHidden/>
          </w:rPr>
        </w:r>
        <w:r>
          <w:rPr>
            <w:noProof/>
            <w:webHidden/>
          </w:rPr>
          <w:fldChar w:fldCharType="separate"/>
        </w:r>
        <w:r w:rsidR="00ED66C2">
          <w:rPr>
            <w:noProof/>
            <w:webHidden/>
          </w:rPr>
          <w:t>44</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93" w:history="1">
        <w:r w:rsidRPr="006E1CCD">
          <w:rPr>
            <w:rStyle w:val="Hyperlink"/>
            <w:noProof/>
          </w:rPr>
          <w:t>Figure 36: Dekadal (10-day) precipitation estimates from NOAA’s Climate Prediction Center derived from merging measurements from three satellites sensors (IR from Geostationary every 30 minutes and passive microwave from two polar orbiters up to four times a day) and rain gauge measurements (left, Xie, and Arkin, 1996) and Vectorial Capacity (right, Ceccato et al. 2012).</w:t>
        </w:r>
        <w:r>
          <w:rPr>
            <w:noProof/>
            <w:webHidden/>
          </w:rPr>
          <w:tab/>
        </w:r>
        <w:r>
          <w:rPr>
            <w:noProof/>
            <w:webHidden/>
          </w:rPr>
          <w:fldChar w:fldCharType="begin"/>
        </w:r>
        <w:r>
          <w:rPr>
            <w:noProof/>
            <w:webHidden/>
          </w:rPr>
          <w:instrText xml:space="preserve"> PAGEREF _Toc460923893 \h </w:instrText>
        </w:r>
        <w:r>
          <w:rPr>
            <w:noProof/>
            <w:webHidden/>
          </w:rPr>
        </w:r>
        <w:r>
          <w:rPr>
            <w:noProof/>
            <w:webHidden/>
          </w:rPr>
          <w:fldChar w:fldCharType="separate"/>
        </w:r>
        <w:r w:rsidR="00ED66C2">
          <w:rPr>
            <w:noProof/>
            <w:webHidden/>
          </w:rPr>
          <w:t>45</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94" w:history="1">
        <w:r w:rsidRPr="006E1CCD">
          <w:rPr>
            <w:rStyle w:val="Hyperlink"/>
            <w:noProof/>
          </w:rPr>
          <w:t>Figure 37: Broadband black sky albedo spatial composite product for the period 1-10 May 2001 [http://www.scope-cm.org/].</w:t>
        </w:r>
        <w:r>
          <w:rPr>
            <w:noProof/>
            <w:webHidden/>
          </w:rPr>
          <w:tab/>
        </w:r>
        <w:r>
          <w:rPr>
            <w:noProof/>
            <w:webHidden/>
          </w:rPr>
          <w:fldChar w:fldCharType="begin"/>
        </w:r>
        <w:r>
          <w:rPr>
            <w:noProof/>
            <w:webHidden/>
          </w:rPr>
          <w:instrText xml:space="preserve"> PAGEREF _Toc460923894 \h </w:instrText>
        </w:r>
        <w:r>
          <w:rPr>
            <w:noProof/>
            <w:webHidden/>
          </w:rPr>
        </w:r>
        <w:r>
          <w:rPr>
            <w:noProof/>
            <w:webHidden/>
          </w:rPr>
          <w:fldChar w:fldCharType="separate"/>
        </w:r>
        <w:r w:rsidR="00ED66C2">
          <w:rPr>
            <w:noProof/>
            <w:webHidden/>
          </w:rPr>
          <w:t>46</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95" w:history="1">
        <w:r w:rsidRPr="006E1CCD">
          <w:rPr>
            <w:rStyle w:val="Hyperlink"/>
            <w:noProof/>
          </w:rPr>
          <w:t>Figure 38:</w:t>
        </w:r>
        <w:r w:rsidRPr="006E1CCD">
          <w:rPr>
            <w:rStyle w:val="Hyperlink"/>
            <w:noProof/>
            <w:lang w:val="en-GB"/>
          </w:rPr>
          <w:t xml:space="preserve"> Regional Surface Daiation from Meteosat (left) and Global Surface Radiation from multiple geostationary and polar orbiting satellites (right). (Trentmann et al.,  2013).</w:t>
        </w:r>
        <w:r>
          <w:rPr>
            <w:noProof/>
            <w:webHidden/>
          </w:rPr>
          <w:tab/>
        </w:r>
        <w:r>
          <w:rPr>
            <w:noProof/>
            <w:webHidden/>
          </w:rPr>
          <w:fldChar w:fldCharType="begin"/>
        </w:r>
        <w:r>
          <w:rPr>
            <w:noProof/>
            <w:webHidden/>
          </w:rPr>
          <w:instrText xml:space="preserve"> PAGEREF _Toc460923895 \h </w:instrText>
        </w:r>
        <w:r>
          <w:rPr>
            <w:noProof/>
            <w:webHidden/>
          </w:rPr>
        </w:r>
        <w:r>
          <w:rPr>
            <w:noProof/>
            <w:webHidden/>
          </w:rPr>
          <w:fldChar w:fldCharType="separate"/>
        </w:r>
        <w:r w:rsidR="00ED66C2">
          <w:rPr>
            <w:noProof/>
            <w:webHidden/>
          </w:rPr>
          <w:t>47</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96" w:history="1">
        <w:r w:rsidRPr="006E1CCD">
          <w:rPr>
            <w:rStyle w:val="Hyperlink"/>
            <w:noProof/>
          </w:rPr>
          <w:t>Figure 40: Himawari-8 AHI band 1 and 2 vicarious calibrations statistics July 2016. (Courtesy JMA, Himawari-8 Calibration Portal).</w:t>
        </w:r>
        <w:r>
          <w:rPr>
            <w:noProof/>
            <w:webHidden/>
          </w:rPr>
          <w:tab/>
        </w:r>
        <w:r>
          <w:rPr>
            <w:noProof/>
            <w:webHidden/>
          </w:rPr>
          <w:fldChar w:fldCharType="begin"/>
        </w:r>
        <w:r>
          <w:rPr>
            <w:noProof/>
            <w:webHidden/>
          </w:rPr>
          <w:instrText xml:space="preserve"> PAGEREF _Toc460923896 \h </w:instrText>
        </w:r>
        <w:r>
          <w:rPr>
            <w:noProof/>
            <w:webHidden/>
          </w:rPr>
        </w:r>
        <w:r>
          <w:rPr>
            <w:noProof/>
            <w:webHidden/>
          </w:rPr>
          <w:fldChar w:fldCharType="separate"/>
        </w:r>
        <w:r w:rsidR="00ED66C2">
          <w:rPr>
            <w:noProof/>
            <w:webHidden/>
          </w:rPr>
          <w:t>58</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97" w:history="1">
        <w:r w:rsidRPr="006E1CCD">
          <w:rPr>
            <w:rStyle w:val="Hyperlink"/>
            <w:noProof/>
          </w:rPr>
          <w:t xml:space="preserve">Figure 41: </w:t>
        </w:r>
        <w:r w:rsidRPr="006E1CCD">
          <w:rPr>
            <w:rStyle w:val="Hyperlink"/>
            <w:noProof/>
            <w:lang w:val="en-GB" w:eastAsia="en-US"/>
          </w:rPr>
          <w:t>A comparison of various calibration methods. Time series representation of variation in the MTSAT-2 visible calibration slope as derived using three calibration methods (DCC = Cross calibration using Deep Convective Clouds, Moon = Lunar calibration, RSTAR = Vicarious Calibration using radiative Transfer Model simulations). Each result is normalized against the first calibration result. The shaded are shows the 95% confidence interval of the linear regression.</w:t>
        </w:r>
        <w:r w:rsidRPr="006E1CCD">
          <w:rPr>
            <w:rStyle w:val="Hyperlink"/>
            <w:noProof/>
          </w:rPr>
          <w:t xml:space="preserve"> </w:t>
        </w:r>
        <w:r w:rsidRPr="006E1CCD">
          <w:rPr>
            <w:rStyle w:val="Hyperlink"/>
            <w:rFonts w:eastAsia="Times New Roman"/>
            <w:noProof/>
            <w:lang w:val="en-GB" w:eastAsia="en-GB"/>
          </w:rPr>
          <w:t>(Takahashi and Okuyama, 2015).</w:t>
        </w:r>
        <w:r>
          <w:rPr>
            <w:noProof/>
            <w:webHidden/>
          </w:rPr>
          <w:tab/>
        </w:r>
        <w:r>
          <w:rPr>
            <w:noProof/>
            <w:webHidden/>
          </w:rPr>
          <w:fldChar w:fldCharType="begin"/>
        </w:r>
        <w:r>
          <w:rPr>
            <w:noProof/>
            <w:webHidden/>
          </w:rPr>
          <w:instrText xml:space="preserve"> PAGEREF _Toc460923897 \h </w:instrText>
        </w:r>
        <w:r>
          <w:rPr>
            <w:noProof/>
            <w:webHidden/>
          </w:rPr>
        </w:r>
        <w:r>
          <w:rPr>
            <w:noProof/>
            <w:webHidden/>
          </w:rPr>
          <w:fldChar w:fldCharType="separate"/>
        </w:r>
        <w:r w:rsidR="00ED66C2">
          <w:rPr>
            <w:noProof/>
            <w:webHidden/>
          </w:rPr>
          <w:t>59</w:t>
        </w:r>
        <w:r>
          <w:rPr>
            <w:noProof/>
            <w:webHidden/>
          </w:rPr>
          <w:fldChar w:fldCharType="end"/>
        </w:r>
      </w:hyperlink>
    </w:p>
    <w:p w:rsidR="00BC2074" w:rsidRDefault="00E27A82" w:rsidP="00462182">
      <w:pPr>
        <w:pStyle w:val="TableofFigures"/>
        <w:rPr>
          <w:noProof/>
        </w:rPr>
      </w:pPr>
      <w:r>
        <w:fldChar w:fldCharType="end"/>
      </w:r>
      <w:r w:rsidRPr="00E27A82">
        <w:fldChar w:fldCharType="begin"/>
      </w:r>
      <w:r w:rsidR="003053C7">
        <w:instrText xml:space="preserve"> TOC \h \z \c "Apx Figure" </w:instrText>
      </w:r>
      <w:r w:rsidRPr="00E27A82">
        <w:fldChar w:fldCharType="separate"/>
      </w:r>
    </w:p>
    <w:p w:rsidR="00BC2074" w:rsidRDefault="00BC2074">
      <w:pPr>
        <w:pStyle w:val="TableofFigures"/>
        <w:rPr>
          <w:rFonts w:eastAsia="Times New Roman"/>
          <w:noProof/>
          <w:color w:val="auto"/>
        </w:rPr>
      </w:pPr>
    </w:p>
    <w:p w:rsidR="00A943B2" w:rsidRDefault="00E27A82" w:rsidP="00064612">
      <w:pPr>
        <w:pStyle w:val="ListofFiguresandTablesTOCHeading"/>
      </w:pPr>
      <w:r>
        <w:fldChar w:fldCharType="end"/>
      </w:r>
      <w:r w:rsidR="004D139E">
        <w:t>T</w:t>
      </w:r>
      <w:r w:rsidR="00A943B2">
        <w:t>ables</w:t>
      </w:r>
    </w:p>
    <w:p w:rsidR="00E44CE8" w:rsidRDefault="00E27A82">
      <w:pPr>
        <w:pStyle w:val="TableofFigures"/>
        <w:rPr>
          <w:rFonts w:asciiTheme="minorHAnsi" w:eastAsiaTheme="minorEastAsia" w:hAnsiTheme="minorHAnsi" w:cstheme="minorBidi"/>
          <w:noProof/>
          <w:color w:val="auto"/>
          <w:lang w:val="en-US" w:eastAsia="en-US"/>
        </w:rPr>
      </w:pPr>
      <w:r>
        <w:fldChar w:fldCharType="begin"/>
      </w:r>
      <w:r w:rsidR="00A943B2">
        <w:instrText xml:space="preserve"> TOC \h \z \c "Table" </w:instrText>
      </w:r>
      <w:r>
        <w:fldChar w:fldCharType="separate"/>
      </w:r>
      <w:hyperlink w:anchor="_Toc460923898" w:history="1">
        <w:r w:rsidR="00E44CE8" w:rsidRPr="0068412B">
          <w:rPr>
            <w:rStyle w:val="Hyperlink"/>
            <w:noProof/>
          </w:rPr>
          <w:t>Table 1: Comparison of multi-band imagers of geostationary satellites.</w:t>
        </w:r>
        <w:r w:rsidR="00E44CE8">
          <w:rPr>
            <w:noProof/>
            <w:webHidden/>
          </w:rPr>
          <w:tab/>
        </w:r>
        <w:r w:rsidR="00E44CE8">
          <w:rPr>
            <w:noProof/>
            <w:webHidden/>
          </w:rPr>
          <w:fldChar w:fldCharType="begin"/>
        </w:r>
        <w:r w:rsidR="00E44CE8">
          <w:rPr>
            <w:noProof/>
            <w:webHidden/>
          </w:rPr>
          <w:instrText xml:space="preserve"> PAGEREF _Toc460923898 \h </w:instrText>
        </w:r>
        <w:r w:rsidR="00E44CE8">
          <w:rPr>
            <w:noProof/>
            <w:webHidden/>
          </w:rPr>
        </w:r>
        <w:r w:rsidR="00E44CE8">
          <w:rPr>
            <w:noProof/>
            <w:webHidden/>
          </w:rPr>
          <w:fldChar w:fldCharType="separate"/>
        </w:r>
        <w:r w:rsidR="00ED66C2">
          <w:rPr>
            <w:noProof/>
            <w:webHidden/>
          </w:rPr>
          <w:t>11</w:t>
        </w:r>
        <w:r w:rsidR="00E44CE8">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899" w:history="1">
        <w:r w:rsidRPr="0068412B">
          <w:rPr>
            <w:rStyle w:val="Hyperlink"/>
            <w:noProof/>
          </w:rPr>
          <w:t>Table 2: Data Services Plan for GEOKOMPAT 2A.</w:t>
        </w:r>
        <w:r>
          <w:rPr>
            <w:noProof/>
            <w:webHidden/>
          </w:rPr>
          <w:tab/>
        </w:r>
        <w:r>
          <w:rPr>
            <w:noProof/>
            <w:webHidden/>
          </w:rPr>
          <w:fldChar w:fldCharType="begin"/>
        </w:r>
        <w:r>
          <w:rPr>
            <w:noProof/>
            <w:webHidden/>
          </w:rPr>
          <w:instrText xml:space="preserve"> PAGEREF _Toc460923899 \h </w:instrText>
        </w:r>
        <w:r>
          <w:rPr>
            <w:noProof/>
            <w:webHidden/>
          </w:rPr>
        </w:r>
        <w:r>
          <w:rPr>
            <w:noProof/>
            <w:webHidden/>
          </w:rPr>
          <w:fldChar w:fldCharType="separate"/>
        </w:r>
        <w:r w:rsidR="00ED66C2">
          <w:rPr>
            <w:noProof/>
            <w:webHidden/>
          </w:rPr>
          <w:t>15</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900" w:history="1">
        <w:r w:rsidRPr="0068412B">
          <w:rPr>
            <w:rStyle w:val="Hyperlink"/>
            <w:noProof/>
          </w:rPr>
          <w:t>Table 3: Comparison of GOCI and GOCI-II sensors (CGMS-44-KMA-WP-01).</w:t>
        </w:r>
        <w:r>
          <w:rPr>
            <w:noProof/>
            <w:webHidden/>
          </w:rPr>
          <w:tab/>
        </w:r>
        <w:r>
          <w:rPr>
            <w:noProof/>
            <w:webHidden/>
          </w:rPr>
          <w:fldChar w:fldCharType="begin"/>
        </w:r>
        <w:r>
          <w:rPr>
            <w:noProof/>
            <w:webHidden/>
          </w:rPr>
          <w:instrText xml:space="preserve"> PAGEREF _Toc460923900 \h </w:instrText>
        </w:r>
        <w:r>
          <w:rPr>
            <w:noProof/>
            <w:webHidden/>
          </w:rPr>
        </w:r>
        <w:r>
          <w:rPr>
            <w:noProof/>
            <w:webHidden/>
          </w:rPr>
          <w:fldChar w:fldCharType="separate"/>
        </w:r>
        <w:r w:rsidR="00ED66C2">
          <w:rPr>
            <w:noProof/>
            <w:webHidden/>
          </w:rPr>
          <w:t>20</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901" w:history="1">
        <w:r w:rsidRPr="0068412B">
          <w:rPr>
            <w:rStyle w:val="Hyperlink"/>
            <w:noProof/>
          </w:rPr>
          <w:t>Table 4: Basic meteorological products.</w:t>
        </w:r>
        <w:r>
          <w:rPr>
            <w:noProof/>
            <w:webHidden/>
          </w:rPr>
          <w:tab/>
        </w:r>
        <w:r>
          <w:rPr>
            <w:noProof/>
            <w:webHidden/>
          </w:rPr>
          <w:fldChar w:fldCharType="begin"/>
        </w:r>
        <w:r>
          <w:rPr>
            <w:noProof/>
            <w:webHidden/>
          </w:rPr>
          <w:instrText xml:space="preserve"> PAGEREF _Toc460923901 \h </w:instrText>
        </w:r>
        <w:r>
          <w:rPr>
            <w:noProof/>
            <w:webHidden/>
          </w:rPr>
        </w:r>
        <w:r>
          <w:rPr>
            <w:noProof/>
            <w:webHidden/>
          </w:rPr>
          <w:fldChar w:fldCharType="separate"/>
        </w:r>
        <w:r w:rsidR="00ED66C2">
          <w:rPr>
            <w:noProof/>
            <w:webHidden/>
          </w:rPr>
          <w:t>21</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902" w:history="1">
        <w:r w:rsidRPr="0068412B">
          <w:rPr>
            <w:rStyle w:val="Hyperlink"/>
            <w:noProof/>
          </w:rPr>
          <w:t>Table 5: The foreseen products and parameters for atmospheric NMA products. (Baseline=B, Future capability/potential=F).</w:t>
        </w:r>
        <w:r>
          <w:rPr>
            <w:noProof/>
            <w:webHidden/>
          </w:rPr>
          <w:tab/>
        </w:r>
        <w:r>
          <w:rPr>
            <w:noProof/>
            <w:webHidden/>
          </w:rPr>
          <w:fldChar w:fldCharType="begin"/>
        </w:r>
        <w:r>
          <w:rPr>
            <w:noProof/>
            <w:webHidden/>
          </w:rPr>
          <w:instrText xml:space="preserve"> PAGEREF _Toc460923902 \h </w:instrText>
        </w:r>
        <w:r>
          <w:rPr>
            <w:noProof/>
            <w:webHidden/>
          </w:rPr>
        </w:r>
        <w:r>
          <w:rPr>
            <w:noProof/>
            <w:webHidden/>
          </w:rPr>
          <w:fldChar w:fldCharType="separate"/>
        </w:r>
        <w:r w:rsidR="00ED66C2">
          <w:rPr>
            <w:noProof/>
            <w:webHidden/>
          </w:rPr>
          <w:t>22</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903" w:history="1">
        <w:r w:rsidRPr="0068412B">
          <w:rPr>
            <w:rStyle w:val="Hyperlink"/>
            <w:noProof/>
          </w:rPr>
          <w:t>Table 6: Foreseen products and parameters for Ocean NMA products. (Baseline=B, Future capability/potential=F).</w:t>
        </w:r>
        <w:r>
          <w:rPr>
            <w:noProof/>
            <w:webHidden/>
          </w:rPr>
          <w:tab/>
        </w:r>
        <w:r>
          <w:rPr>
            <w:noProof/>
            <w:webHidden/>
          </w:rPr>
          <w:fldChar w:fldCharType="begin"/>
        </w:r>
        <w:r>
          <w:rPr>
            <w:noProof/>
            <w:webHidden/>
          </w:rPr>
          <w:instrText xml:space="preserve"> PAGEREF _Toc460923903 \h </w:instrText>
        </w:r>
        <w:r>
          <w:rPr>
            <w:noProof/>
            <w:webHidden/>
          </w:rPr>
        </w:r>
        <w:r>
          <w:rPr>
            <w:noProof/>
            <w:webHidden/>
          </w:rPr>
          <w:fldChar w:fldCharType="separate"/>
        </w:r>
        <w:r w:rsidR="00ED66C2">
          <w:rPr>
            <w:noProof/>
            <w:webHidden/>
          </w:rPr>
          <w:t>29</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904" w:history="1">
        <w:r w:rsidRPr="0068412B">
          <w:rPr>
            <w:rStyle w:val="Hyperlink"/>
            <w:noProof/>
          </w:rPr>
          <w:t>Table 7: Foreseen products and parameters for land NMA products (Baseline=B, Future capability/potential=F).</w:t>
        </w:r>
        <w:r>
          <w:rPr>
            <w:noProof/>
            <w:webHidden/>
          </w:rPr>
          <w:tab/>
        </w:r>
        <w:r>
          <w:rPr>
            <w:noProof/>
            <w:webHidden/>
          </w:rPr>
          <w:fldChar w:fldCharType="begin"/>
        </w:r>
        <w:r>
          <w:rPr>
            <w:noProof/>
            <w:webHidden/>
          </w:rPr>
          <w:instrText xml:space="preserve"> PAGEREF _Toc460923904 \h </w:instrText>
        </w:r>
        <w:r>
          <w:rPr>
            <w:noProof/>
            <w:webHidden/>
          </w:rPr>
        </w:r>
        <w:r>
          <w:rPr>
            <w:noProof/>
            <w:webHidden/>
          </w:rPr>
          <w:fldChar w:fldCharType="separate"/>
        </w:r>
        <w:r w:rsidR="00ED66C2">
          <w:rPr>
            <w:noProof/>
            <w:webHidden/>
          </w:rPr>
          <w:t>36</w:t>
        </w:r>
        <w:r>
          <w:rPr>
            <w:noProof/>
            <w:webHidden/>
          </w:rPr>
          <w:fldChar w:fldCharType="end"/>
        </w:r>
      </w:hyperlink>
    </w:p>
    <w:p w:rsidR="00E44CE8" w:rsidRDefault="00E44CE8">
      <w:pPr>
        <w:pStyle w:val="TableofFigures"/>
        <w:rPr>
          <w:rFonts w:asciiTheme="minorHAnsi" w:eastAsiaTheme="minorEastAsia" w:hAnsiTheme="minorHAnsi" w:cstheme="minorBidi"/>
          <w:noProof/>
          <w:color w:val="auto"/>
          <w:lang w:val="en-US" w:eastAsia="en-US"/>
        </w:rPr>
      </w:pPr>
      <w:hyperlink w:anchor="_Toc460923905" w:history="1">
        <w:r w:rsidRPr="0068412B">
          <w:rPr>
            <w:rStyle w:val="Hyperlink"/>
            <w:noProof/>
          </w:rPr>
          <w:t>Table 8: GEO versus LEO characteristics.</w:t>
        </w:r>
        <w:r>
          <w:rPr>
            <w:noProof/>
            <w:webHidden/>
          </w:rPr>
          <w:tab/>
        </w:r>
        <w:r>
          <w:rPr>
            <w:noProof/>
            <w:webHidden/>
          </w:rPr>
          <w:fldChar w:fldCharType="begin"/>
        </w:r>
        <w:r>
          <w:rPr>
            <w:noProof/>
            <w:webHidden/>
          </w:rPr>
          <w:instrText xml:space="preserve"> PAGEREF _Toc460923905 \h </w:instrText>
        </w:r>
        <w:r>
          <w:rPr>
            <w:noProof/>
            <w:webHidden/>
          </w:rPr>
        </w:r>
        <w:r>
          <w:rPr>
            <w:noProof/>
            <w:webHidden/>
          </w:rPr>
          <w:fldChar w:fldCharType="separate"/>
        </w:r>
        <w:r w:rsidR="00ED66C2">
          <w:rPr>
            <w:noProof/>
            <w:webHidden/>
          </w:rPr>
          <w:t>51</w:t>
        </w:r>
        <w:r>
          <w:rPr>
            <w:noProof/>
            <w:webHidden/>
          </w:rPr>
          <w:fldChar w:fldCharType="end"/>
        </w:r>
      </w:hyperlink>
    </w:p>
    <w:p w:rsidR="006A428D" w:rsidRDefault="00E27A82" w:rsidP="006A428D">
      <w:pPr>
        <w:pStyle w:val="TableofFigures"/>
      </w:pPr>
      <w:r>
        <w:fldChar w:fldCharType="end"/>
      </w:r>
    </w:p>
    <w:p w:rsidR="00380581" w:rsidRPr="00380581" w:rsidRDefault="00380581" w:rsidP="00380581"/>
    <w:p w:rsidR="00B34418" w:rsidRDefault="00B34418" w:rsidP="006A428D">
      <w:pPr>
        <w:pStyle w:val="TableofFigures"/>
        <w:sectPr w:rsidR="00B34418" w:rsidSect="00071B54">
          <w:headerReference w:type="default" r:id="rId15"/>
          <w:footerReference w:type="even" r:id="rId16"/>
          <w:footerReference w:type="default" r:id="rId17"/>
          <w:type w:val="oddPage"/>
          <w:pgSz w:w="11906" w:h="16838" w:code="9"/>
          <w:pgMar w:top="1134" w:right="1134" w:bottom="1134" w:left="1134" w:header="510" w:footer="624" w:gutter="0"/>
          <w:pgNumType w:fmt="lowerRoman" w:start="1"/>
          <w:cols w:space="284"/>
          <w:docGrid w:linePitch="360"/>
        </w:sectPr>
      </w:pPr>
    </w:p>
    <w:p w:rsidR="00A943B2" w:rsidRDefault="00A943B2" w:rsidP="001D36DC">
      <w:pPr>
        <w:pStyle w:val="Heading1"/>
      </w:pPr>
      <w:bookmarkStart w:id="0" w:name="_Toc460923827"/>
      <w:r w:rsidRPr="009A20E5">
        <w:t>Introduction</w:t>
      </w:r>
      <w:bookmarkEnd w:id="0"/>
    </w:p>
    <w:p w:rsidR="00E3232C" w:rsidRDefault="00E3232C" w:rsidP="00E3232C">
      <w:pPr>
        <w:pStyle w:val="Heading2"/>
      </w:pPr>
      <w:bookmarkStart w:id="1" w:name="_Toc460923828"/>
      <w:r>
        <w:t>Overview</w:t>
      </w:r>
      <w:bookmarkEnd w:id="1"/>
    </w:p>
    <w:p w:rsidR="00860EC1" w:rsidRPr="00945E38" w:rsidRDefault="00860EC1" w:rsidP="00860EC1">
      <w:r w:rsidRPr="00945E38">
        <w:t>The deployment over the next few years of a constellation of advanced meteorological geostationary (GEO) satellites, with their improved spectral, spatial and temporal resolution sensors, opens up a world of new possibilities for continuous monitoring of the high-temporal dynamics of the land, oceans and atmosphere, addressing a broad range of societal challenges and information needs, particularly in combination with moderate resolution low Earth orbit (LEO) observing satellites.</w:t>
      </w:r>
    </w:p>
    <w:p w:rsidR="00860EC1" w:rsidRDefault="00860EC1" w:rsidP="00860EC1">
      <w:r w:rsidRPr="00945E38">
        <w:t>While the primary mission of the new GEO satellites is to support operational meteorological services, they offer opportunities for non-meteorological applications that can enhance and complement the low Earth orbit (LEO)-based applications that have been the primary tool for monitoring of the broader environment.</w:t>
      </w:r>
    </w:p>
    <w:p w:rsidR="00860EC1" w:rsidRDefault="00860EC1" w:rsidP="00860EC1">
      <w:r w:rsidRPr="004173F6">
        <w:t>The Committee of Earth Observing Satellite (CE</w:t>
      </w:r>
      <w:r>
        <w:t>OS), under the leadership of Australia’s</w:t>
      </w:r>
      <w:r w:rsidRPr="004173F6">
        <w:t xml:space="preserve"> Commonwealth Scientific and Industria</w:t>
      </w:r>
      <w:r>
        <w:t>l Research Organization (CSIRO)</w:t>
      </w:r>
      <w:r w:rsidRPr="004173F6">
        <w:t xml:space="preserve"> and supported by the Australian Bureau of Meteorology</w:t>
      </w:r>
      <w:r>
        <w:t>, conduct</w:t>
      </w:r>
      <w:r w:rsidRPr="004173F6">
        <w:t>ed a one-year study initiative in 201</w:t>
      </w:r>
      <w:r>
        <w:t xml:space="preserve">5-16 to assess the potential of non-meteorological </w:t>
      </w:r>
      <w:r w:rsidRPr="004173F6">
        <w:t>applications</w:t>
      </w:r>
      <w:r>
        <w:t xml:space="preserve"> of the </w:t>
      </w:r>
      <w:r w:rsidRPr="004173F6">
        <w:t>advanced meteorological geostationary (GEO) satellites</w:t>
      </w:r>
      <w:r>
        <w:t xml:space="preserve"> and of synergistic GEO-LEO approaches.</w:t>
      </w:r>
      <w:r w:rsidRPr="004173F6">
        <w:t xml:space="preserve"> This report summarises the</w:t>
      </w:r>
      <w:r>
        <w:t xml:space="preserve"> initiative’s findings. It identifies key issues and opportunities and proposes a plan of action for consideration by CEOS. While the subject of the study is non-meteorological applications, careful consideration is given to developing an understanding of the work planned or underway within CGMS and its Agencies, and on ensuring any way forward is planned in consultation with CGMS where appropriate.</w:t>
      </w:r>
    </w:p>
    <w:p w:rsidR="00860EC1" w:rsidRDefault="00860EC1" w:rsidP="00860EC1">
      <w:r>
        <w:t>The study was conducted by the CEOS Ad Hoc Team (AHT)</w:t>
      </w:r>
      <w:r w:rsidR="00BB4F76">
        <w:t xml:space="preserve"> </w:t>
      </w:r>
      <w:r>
        <w:t xml:space="preserve">on </w:t>
      </w:r>
      <w:r w:rsidRPr="004173F6">
        <w:t>Non-Meteorological Applications for Next Generation Geostationary Satellites</w:t>
      </w:r>
      <w:r>
        <w:t xml:space="preserve"> (NMA). The AHT</w:t>
      </w:r>
      <w:r w:rsidR="00BB4F76">
        <w:t xml:space="preserve"> </w:t>
      </w:r>
      <w:r>
        <w:t>was co-led by volunteers from agencies developing non-meteorological applications and space agencies that operate advanced GEO imagers, and the broader team included participants from a range of other CEOS Agencies. The study sought input from groups within CEOS including the Virtual Constellations, the Working Groups and thematic groups.</w:t>
      </w:r>
    </w:p>
    <w:p w:rsidR="00860EC1" w:rsidRDefault="00860EC1" w:rsidP="00860EC1">
      <w:pPr>
        <w:pStyle w:val="Heading2"/>
      </w:pPr>
      <w:bookmarkStart w:id="2" w:name="_Toc460923829"/>
      <w:r>
        <w:t>Context</w:t>
      </w:r>
      <w:bookmarkEnd w:id="2"/>
    </w:p>
    <w:p w:rsidR="00860EC1" w:rsidRDefault="00860EC1" w:rsidP="00860EC1">
      <w:pPr>
        <w:pStyle w:val="Heading3"/>
      </w:pPr>
      <w:r>
        <w:t>The capability</w:t>
      </w:r>
    </w:p>
    <w:p w:rsidR="00860EC1" w:rsidRDefault="00860EC1" w:rsidP="00860EC1">
      <w:r>
        <w:t>The era of advanced GEO satellites was ushered in with the launch of Himawari-8 by JMA in 2015. Over the next few years advanced GEO satellites will also be launched by NOAA, KMA, CMA and EUMETSAT. All of the imagers have similar capabilities, with typical specifications being 16 spectral bands, spatial resolution of 0.5 km to 2 km depending on band, and variable image cadence from 30 seconds to 15 minutes with routine full disk imaging every 10 to 15 minutes. Thus the assembly is underway of a GEO-ring of advanced imagers with global coverage outside the polar regions.</w:t>
      </w:r>
    </w:p>
    <w:p w:rsidR="00860EC1" w:rsidRDefault="00860EC1" w:rsidP="00860EC1">
      <w:r w:rsidRPr="003A6640">
        <w:t>The</w:t>
      </w:r>
      <w:r>
        <w:t>se</w:t>
      </w:r>
      <w:r w:rsidRPr="003A6640">
        <w:t xml:space="preserve"> characteristics of the advanced GEO sensors complement current moderate resolution LEO sensors, approaching the LEO sensors in spatial and spectral resolution capacity, while offering far greater temporal resolution and complementary view and illumination geometries. Further</w:t>
      </w:r>
      <w:r>
        <w:t>more</w:t>
      </w:r>
      <w:r w:rsidRPr="003A6640">
        <w:t>, GEO satellites can fill gaps in LEO coverage due to cloud</w:t>
      </w:r>
      <w:r w:rsidR="00BB4F76">
        <w:t xml:space="preserve"> cover</w:t>
      </w:r>
      <w:r w:rsidRPr="003A6640">
        <w:t>. They are particularly well suited to monitoring rapid changes in the land surface (such as snow, burns and harvest), ocean (such as ocean colo</w:t>
      </w:r>
      <w:r w:rsidR="00BB4F76">
        <w:t>u</w:t>
      </w:r>
      <w:r w:rsidRPr="003A6640">
        <w:t>r including algal blooms and sediment plumes, and sea surface temperature), and characteristics of the atmosphere</w:t>
      </w:r>
      <w:r>
        <w:t xml:space="preserve"> beyond traditional weather phenomena</w:t>
      </w:r>
      <w:r w:rsidRPr="003A6640">
        <w:t xml:space="preserve"> (such as aerosols including smoke and dust events, ozone and potentially air quality).</w:t>
      </w:r>
    </w:p>
    <w:p w:rsidR="00860EC1" w:rsidRDefault="00860EC1" w:rsidP="00860EC1"/>
    <w:p w:rsidR="00860EC1" w:rsidRDefault="00860EC1" w:rsidP="00860EC1">
      <w:r>
        <w:t>GEO sensors promise more cloud free observations resulting in better product availability. Cloud or cloud contamination is a major issue in land data production since most of land measurements rely on visible and infrared channels. Applications that will benefit include flood development and surface energy balance. Furthermore, the fixed observation geometry available from GEO orbit provides consistent measurements, reducing uncertainty due to anisotropic surface reflectance.</w:t>
      </w:r>
    </w:p>
    <w:p w:rsidR="00860EC1" w:rsidRDefault="00860EC1" w:rsidP="00860EC1">
      <w:r>
        <w:t>GEO sensors enable precise measurements of diurnal cycles. Diurnal variation such as of LST and SST can only be detected from GEO satellite.</w:t>
      </w:r>
    </w:p>
    <w:p w:rsidR="00860EC1" w:rsidRDefault="00860EC1" w:rsidP="00860EC1">
      <w:r>
        <w:t>Lastly, besides the “headline” enhancement in sensor characteristics, the new generation refreshes the technology, bringing improved performance. For instance, JMA reports that diurnal variation in characteristics of thermal bands is much reduced on Himawari-8 compared to MTSAT.</w:t>
      </w:r>
    </w:p>
    <w:p w:rsidR="00860EC1" w:rsidRDefault="00860EC1" w:rsidP="00860EC1">
      <w:r>
        <w:t>It is worth noting that the SEVIRI imager has been operating over the European sector on EUMETSAT’s MSG series of platforms</w:t>
      </w:r>
      <w:r w:rsidR="00E05A6B">
        <w:t xml:space="preserve"> since 2004</w:t>
      </w:r>
      <w:r>
        <w:t>, with spectral coverage and temporal sampling comparable to the new generation of imagers. As a consequence of this and the well established applications framework within EUMETSAT’s network of Satellite Application Facilities (SAFs), SEVIRI applications serve as a valuable guide to maximising the benefit from the new GEO-ring.</w:t>
      </w:r>
    </w:p>
    <w:p w:rsidR="00860EC1" w:rsidRDefault="00860EC1" w:rsidP="00860EC1">
      <w:pPr>
        <w:pStyle w:val="Heading3"/>
      </w:pPr>
      <w:r>
        <w:t>Synergistic use of geostationary and low-Earth orbit satellites</w:t>
      </w:r>
    </w:p>
    <w:p w:rsidR="00860EC1" w:rsidRDefault="00860EC1" w:rsidP="00860EC1">
      <w:r w:rsidRPr="00435044">
        <w:t>Further enhancements in observation capability can potentially emerge from applications that use data from both the advanced GEO and LEO sensors together, by exploiting their complementarit</w:t>
      </w:r>
      <w:r w:rsidR="00E05A6B">
        <w:t>ies</w:t>
      </w:r>
      <w:r w:rsidRPr="00435044">
        <w:t>. Possibilities include merging the finer spatial resolution of the LEO sensors with the fine temporal resolution of the GEO sensors, exploiting the availability of simultaneous observations with different view or illumination conditions</w:t>
      </w:r>
      <w:r w:rsidR="00571CB3">
        <w:t xml:space="preserve"> allowing sensor inter-calibrations</w:t>
      </w:r>
      <w:r w:rsidRPr="00435044">
        <w:t>, and the fusion of GEO and LEO products into global products that address sampling issues at high latitudes. Th</w:t>
      </w:r>
      <w:r>
        <w:t>e blending of GEO and LEO satellite measurements aligns with a trend in producer agencies towards enterprise algorithms that exploit data from multiple sources to maximise product quality.</w:t>
      </w:r>
    </w:p>
    <w:p w:rsidR="00860EC1" w:rsidRDefault="00860EC1" w:rsidP="00860EC1">
      <w:pPr>
        <w:pStyle w:val="Heading3"/>
      </w:pPr>
      <w:r>
        <w:t>The environment</w:t>
      </w:r>
    </w:p>
    <w:p w:rsidR="00860EC1" w:rsidRDefault="00860EC1" w:rsidP="00860EC1">
      <w:r>
        <w:t xml:space="preserve">CEOS has long served to globally coordinate civilian, non-meteorological Earth Observations from Space (EOS) through practical collaborative activities conducted through its subgroups such as the CEOS Working Groups and Virtual Constellations. CEOS is well placed to build on its established and well established activities to coordinate application development for the new GEO ring in order to make the best use of the new capability given the resources available. </w:t>
      </w:r>
      <w:r w:rsidR="006A428D">
        <w:t>Furthermore</w:t>
      </w:r>
      <w:r>
        <w:t>, CEOS has links to international agencies such as GEO and the UNFCCC that can support the utilisation of applications for maximum societal benefit</w:t>
      </w:r>
    </w:p>
    <w:p w:rsidR="00860EC1" w:rsidRDefault="00860EC1" w:rsidP="00860EC1">
      <w:r>
        <w:t>CGMS has similarly coordinated the international exploitation of meteorological satellites, including its past and future coordination of the use of the GEO ring for weather and related applications. CGMS has its own international links, such as with WMO with its focus and experience on international cooperation in gathering Earth system data. CEOS and CGMS together are well placed to coordinate international activity to expand the suite of applications from the new GEOs into new non-meteorological areas and build on their links with partner agencies to maximise the societal benefit.</w:t>
      </w:r>
    </w:p>
    <w:p w:rsidR="00860EC1" w:rsidRDefault="00860EC1" w:rsidP="00860EC1">
      <w:r>
        <w:t>The international EOS community has a rich heritage of experience in developing applications from LEOs with diverse capabilities in terms of spatial resolution, temporal frequency, spectral coverage and angular characteristics. This experience and the algorithms themselves form a solid base from which to develop algorithms for the new GEOs. The existing LEO science teams constitute a valuable resource that could be incrementally extended to expand their activi</w:t>
      </w:r>
      <w:r w:rsidR="006A428D">
        <w:t xml:space="preserve">ties to the new GEOs. </w:t>
      </w:r>
      <w:r>
        <w:t>The experience with merging LEO data streams with diverse characteristics will be valuable in supporting GEO-LEO applications.</w:t>
      </w:r>
    </w:p>
    <w:p w:rsidR="00860EC1" w:rsidRDefault="00860EC1" w:rsidP="00860EC1">
      <w:r>
        <w:t>The large data volumes generated by the new GEOs, particularly when used to produce products with global coverage, demands that close attention be paid to current developments in data technologies such as those studied by CEOS-WGISS and the CEOS Future Data Architectures initiative.</w:t>
      </w:r>
    </w:p>
    <w:p w:rsidR="00860EC1" w:rsidRDefault="00860EC1" w:rsidP="00860EC1">
      <w:r>
        <w:t>Agencies in Japan and Australia initiated a bilateral effort in 2015 to develop non-meteorological applications from Himawari-8, both alone and in combination with LEOs. This early effort provides instructive lessons in the management of international collaborations to develop the new applications.</w:t>
      </w:r>
    </w:p>
    <w:p w:rsidR="00A943B2" w:rsidRDefault="00E3232C" w:rsidP="00E3232C">
      <w:pPr>
        <w:pStyle w:val="Heading2"/>
      </w:pPr>
      <w:bookmarkStart w:id="3" w:name="_Toc460923830"/>
      <w:r>
        <w:t>Purpose</w:t>
      </w:r>
      <w:bookmarkEnd w:id="3"/>
    </w:p>
    <w:p w:rsidR="00860EC1" w:rsidRDefault="00860EC1" w:rsidP="00860EC1">
      <w:r w:rsidRPr="00F45B48">
        <w:t>The development of meteorological applications of the advanced GEO sensors is comprehensively addressed by the meteorological community. However, the development of non-meteorological applications from the advanced GEO sensors, including in conjun</w:t>
      </w:r>
      <w:r>
        <w:t>ction with LEO sensors, is a growing</w:t>
      </w:r>
      <w:r w:rsidRPr="00F45B48">
        <w:t xml:space="preserve"> area of EO application development that shows much promise but which will benefit from a systematic survey of the potential applications, their benefits, capacity to meet societal needs and their relationship to other EO applications.</w:t>
      </w:r>
    </w:p>
    <w:p w:rsidR="00860EC1" w:rsidRDefault="00860EC1" w:rsidP="00860EC1">
      <w:r w:rsidRPr="00F45B48">
        <w:t>This study provides a systematic survey of non-meteorological applications for current and planned GEO missions and provides comprehensive and pragmatic guidance in line with the activities of the Coordinating Group for Meteorological Satellites (CGMS) on how to progress key applications for a quasi-global GEO constellation.</w:t>
      </w:r>
    </w:p>
    <w:p w:rsidR="00860EC1" w:rsidRDefault="00860EC1" w:rsidP="00860EC1">
      <w:r>
        <w:t>This report identifies the potential non-meteorological applications of advanced GEO satellites alone or in combination with LEO satellites, identifies LEO applications that may serve as a basis for GEO application development, identifies the benefits of applications, identifies where the applications satisfy unmet requirements and fill data gaps, and identifies opportunities for agency collaboration on application development. The report makes recommendations both to promote the coordinated development, implementation and evaluation of non-meteorological applications by CEOS agencies, and for CEOS engagement with external stakeholders such as meteorological agencies and organisations.</w:t>
      </w:r>
    </w:p>
    <w:p w:rsidR="00E3232C" w:rsidRDefault="00E3232C" w:rsidP="00E3232C">
      <w:pPr>
        <w:pStyle w:val="Heading2"/>
      </w:pPr>
      <w:bookmarkStart w:id="4" w:name="_Toc460923831"/>
      <w:r>
        <w:t>Structure of the report</w:t>
      </w:r>
      <w:bookmarkEnd w:id="4"/>
    </w:p>
    <w:p w:rsidR="00860EC1" w:rsidRDefault="00860EC1" w:rsidP="00860EC1">
      <w:r>
        <w:t>The report chapters subsequent to this introduction will address</w:t>
      </w:r>
    </w:p>
    <w:p w:rsidR="00860EC1" w:rsidRPr="00543780" w:rsidRDefault="00860EC1" w:rsidP="00860EC1">
      <w:pPr>
        <w:pStyle w:val="ListParagraph"/>
        <w:numPr>
          <w:ilvl w:val="0"/>
          <w:numId w:val="34"/>
        </w:numPr>
        <w:tabs>
          <w:tab w:val="left" w:pos="397"/>
        </w:tabs>
        <w:spacing w:after="120" w:line="240" w:lineRule="auto"/>
        <w:contextualSpacing w:val="0"/>
        <w:rPr>
          <w:rFonts w:ascii="Calibri" w:eastAsia="Calibri" w:hAnsi="Calibri"/>
          <w:vanish/>
          <w:sz w:val="22"/>
          <w:szCs w:val="22"/>
          <w:lang w:val="en-AU" w:eastAsia="en-AU"/>
        </w:rPr>
      </w:pPr>
    </w:p>
    <w:p w:rsidR="00860EC1" w:rsidRPr="00543780" w:rsidRDefault="00860EC1" w:rsidP="00860EC1">
      <w:pPr>
        <w:pStyle w:val="ListNumber"/>
      </w:pPr>
      <w:r>
        <w:t>Trend</w:t>
      </w:r>
      <w:r w:rsidRPr="00543780">
        <w:t>s &amp; Outlook for Geostationary EO Satellite Capabilities, providing a catalogue of CEOS/CGMS agency missions, instruments, measurements, data volumes etc.</w:t>
      </w:r>
      <w:r>
        <w:t>;</w:t>
      </w:r>
    </w:p>
    <w:p w:rsidR="00860EC1" w:rsidRPr="00543780" w:rsidRDefault="00860EC1" w:rsidP="00860EC1">
      <w:pPr>
        <w:pStyle w:val="ListNumber"/>
      </w:pPr>
      <w:bookmarkStart w:id="5" w:name="_Ref459762509"/>
      <w:r w:rsidRPr="00543780">
        <w:t>Inventory of relevant non-met applications and review of initiatives being undertaken by CEOS and related agencies in the atmosphere, land and ocean themes;</w:t>
      </w:r>
      <w:bookmarkEnd w:id="5"/>
    </w:p>
    <w:p w:rsidR="00860EC1" w:rsidRPr="00543780" w:rsidRDefault="00860EC1" w:rsidP="00860EC1">
      <w:pPr>
        <w:pStyle w:val="ListNumber"/>
      </w:pPr>
      <w:r w:rsidRPr="00543780">
        <w:t>Benefits of synergistic use of GEO-LEO systems;</w:t>
      </w:r>
    </w:p>
    <w:p w:rsidR="00860EC1" w:rsidRPr="00543780" w:rsidRDefault="006A428D" w:rsidP="00860EC1">
      <w:pPr>
        <w:pStyle w:val="ListNumber"/>
      </w:pPr>
      <w:r>
        <w:t>Coordinating initiatives that are relevant to the further coordination and progression of non-meteorological applications and</w:t>
      </w:r>
      <w:r w:rsidR="00860EC1" w:rsidRPr="00543780">
        <w:t>;</w:t>
      </w:r>
      <w:r>
        <w:t xml:space="preserve"> </w:t>
      </w:r>
    </w:p>
    <w:p w:rsidR="00860EC1" w:rsidRDefault="00860EC1" w:rsidP="006A428D">
      <w:pPr>
        <w:pStyle w:val="ListNumber"/>
      </w:pPr>
      <w:r w:rsidRPr="00543780">
        <w:t>Conclusions</w:t>
      </w:r>
      <w:r w:rsidR="006A428D">
        <w:t xml:space="preserve"> and recommendations </w:t>
      </w:r>
      <w:r>
        <w:t>for the way forward tactically and strategically for CEOS and its agencies.</w:t>
      </w:r>
    </w:p>
    <w:p w:rsidR="00FE5074" w:rsidRPr="001D36DC" w:rsidRDefault="00C34D40" w:rsidP="00E11E69">
      <w:pPr>
        <w:pStyle w:val="Heading1"/>
      </w:pPr>
      <w:bookmarkStart w:id="6" w:name="_Toc460923832"/>
      <w:r>
        <w:t>Trends and Outlook for Geostationary EO Satellite Capabilities</w:t>
      </w:r>
      <w:bookmarkEnd w:id="6"/>
    </w:p>
    <w:p w:rsidR="002F034B" w:rsidRDefault="002F034B" w:rsidP="002F034B">
      <w:pPr>
        <w:pStyle w:val="Heading2"/>
      </w:pPr>
      <w:bookmarkStart w:id="7" w:name="_Toc460923833"/>
      <w:r w:rsidRPr="002F034B">
        <w:t>Retrospect</w:t>
      </w:r>
      <w:bookmarkEnd w:id="7"/>
    </w:p>
    <w:p w:rsidR="00315F48" w:rsidRPr="00621FA6" w:rsidRDefault="00190298" w:rsidP="00190298">
      <w:r w:rsidRPr="00621FA6">
        <w:t xml:space="preserve">Operational geostationary weather satellites have been in service since mid </w:t>
      </w:r>
      <w:r>
        <w:t>19</w:t>
      </w:r>
      <w:r w:rsidRPr="00621FA6">
        <w:t>70s and these satellites are critical to severe weather prediction.  Since 1975, the US National Oceanic and Atmospheric Administration has been operating a series of Geostationary Operational En</w:t>
      </w:r>
      <w:r w:rsidR="00641C0D">
        <w:t xml:space="preserve">vironmental Satellites (GOES). </w:t>
      </w:r>
      <w:r w:rsidRPr="00621FA6">
        <w:t>As of February 2016, three GOES satellites (GOES-13, 14, and 15) are available for meteorological operations, with two o</w:t>
      </w:r>
      <w:r w:rsidR="00641C0D">
        <w:t xml:space="preserve">perational at any given time. </w:t>
      </w:r>
      <w:r w:rsidRPr="00621FA6">
        <w:t>The European Space Agency (ESA) launched Europe’s first geostationary weather satellite Meteosat-1 in 1977 and</w:t>
      </w:r>
      <w:r>
        <w:t>,</w:t>
      </w:r>
      <w:r w:rsidRPr="00621FA6">
        <w:t xml:space="preserve"> similar to NOAA, EUMETSAT (the European Organization for the Exploitation of Meteorological Satellites) has two operational geostationary satellites at any given time (METEOSAT Second Generation MSG-9 and MSG-10 as of February 2016). </w:t>
      </w:r>
      <w:r>
        <w:t>EUMETSAT is also operating a geostationary satellite over the Indian Ocean, Meteosat-7 of the First Generation, but is now replacing that with MSG-8. MSG-8 will take over operational services over that region early 2017.</w:t>
      </w:r>
      <w:r w:rsidRPr="00621FA6">
        <w:t xml:space="preserve">  In Asia, the Japan Meteorological Agency, the Indian Space Research Organization, the Chin</w:t>
      </w:r>
      <w:r>
        <w:t>a</w:t>
      </w:r>
      <w:r w:rsidRPr="00621FA6">
        <w:t xml:space="preserve"> Meteorological </w:t>
      </w:r>
      <w:r>
        <w:t>Administration, and the Korea Meteorological Administration (KMA)</w:t>
      </w:r>
      <w:r w:rsidRPr="00621FA6">
        <w:t xml:space="preserve"> have been operating geostationary satellites since 1978, 1983</w:t>
      </w:r>
      <w:r>
        <w:t>,</w:t>
      </w:r>
      <w:r w:rsidRPr="00621FA6">
        <w:t xml:space="preserve"> 1997</w:t>
      </w:r>
      <w:r>
        <w:t xml:space="preserve"> and 2010</w:t>
      </w:r>
      <w:r w:rsidRPr="00621FA6">
        <w:t xml:space="preserve"> respectively.  The Japanese satellites are called “Himawari” (sunflower), the Indian satellites are known as the Indian National Satellite System (INSAT)</w:t>
      </w:r>
      <w:r>
        <w:t>,</w:t>
      </w:r>
      <w:r w:rsidRPr="00621FA6">
        <w:t xml:space="preserve"> the Chinese satellites are called “Feng-Yun” (wind and cloud)</w:t>
      </w:r>
      <w:r>
        <w:t xml:space="preserve"> and the Korean satellite is called the Communication, Ocean and Meteorological Satellite (COMS)</w:t>
      </w:r>
      <w:r w:rsidRPr="00621FA6">
        <w:t xml:space="preserve">.  </w:t>
      </w:r>
      <w:r>
        <w:t>Among the current operational satellites</w:t>
      </w:r>
      <w:r w:rsidRPr="00621FA6">
        <w:t>, the Spinning Enhanced Visible and Infra-Red Imager (SEVIRI) on MSG is the most advanced Earth imager with twelve spectral bands.  The imagers on other satellites have either five o</w:t>
      </w:r>
      <w:r>
        <w:t>r</w:t>
      </w:r>
      <w:r w:rsidRPr="00621FA6">
        <w:t xml:space="preserve"> six bands and their functional capabilities are similar.</w:t>
      </w:r>
      <w:r w:rsidR="00315F48" w:rsidRPr="00621FA6">
        <w:t xml:space="preserve">    </w:t>
      </w:r>
    </w:p>
    <w:p w:rsidR="002F034B" w:rsidRPr="002F034B" w:rsidRDefault="002F034B" w:rsidP="00C32105">
      <w:pPr>
        <w:pStyle w:val="Heading2"/>
      </w:pPr>
      <w:bookmarkStart w:id="8" w:name="_Toc460923834"/>
      <w:r w:rsidRPr="00621FA6">
        <w:t>The Next Generation of Geostationary Weather Satellites</w:t>
      </w:r>
      <w:bookmarkEnd w:id="8"/>
    </w:p>
    <w:p w:rsidR="00190298" w:rsidRDefault="00190298" w:rsidP="002A2607">
      <w:pPr>
        <w:spacing w:after="240"/>
      </w:pPr>
      <w:r w:rsidRPr="00621FA6">
        <w:t>The next generation of geostationary weather satellites has arrived.  The Japan Meteorological Agency (JMA) launched Him</w:t>
      </w:r>
      <w:r>
        <w:t>a</w:t>
      </w:r>
      <w:r w:rsidRPr="00621FA6">
        <w:t xml:space="preserve">wari-8 on 7 October, 2014, which carries the Advanced Himawari Imager (AHI), a new generation sensor that collects imagery of the Earth’s hemisphere in sixteen spectral bands every ten minutes at spatial resolutions ranging from half a </w:t>
      </w:r>
      <w:r w:rsidR="00A979D9" w:rsidRPr="00621FA6">
        <w:t>kilometre</w:t>
      </w:r>
      <w:r w:rsidRPr="00621FA6">
        <w:t xml:space="preserve"> to two </w:t>
      </w:r>
      <w:r w:rsidR="00A979D9" w:rsidRPr="00621FA6">
        <w:t>kilometres</w:t>
      </w:r>
      <w:r w:rsidRPr="00621FA6">
        <w:t xml:space="preserve">.  AHI is the first sensor of its kind to be ever launched into a geostationary orbit.  </w:t>
      </w:r>
      <w:r>
        <w:t xml:space="preserve"> NOAA will begin launching its next generation GOES satellites, called the GOES-R series carrying the Advanced Baseline Imager (ABI), in 2016. </w:t>
      </w:r>
      <w:r w:rsidRPr="00621FA6">
        <w:t>EUMETSAT is working towards the goal of launching and reaching operational capability of the METEOSAT Third Generation (MTG) geostationary satellites</w:t>
      </w:r>
      <w:r>
        <w:t xml:space="preserve">, which will carry the Flexible Combined Imager (FCI). The Korean Meteorological Agency (KMA) plans to launch Geostationary Korea Multi-Purpose Satellite - 2A (Geo-KOMPSAT-2A) which will carry an imager that is identical in design to AHI and ABI and is called the Advanced Meteorological Imager (AMI) in 2018. CMA will launch their Feng-Yun-4 (FY-4) satellite, carrying the </w:t>
      </w:r>
      <w:r w:rsidRPr="00F926AE">
        <w:t>Multiple Channel Scanning Imager</w:t>
      </w:r>
      <w:r>
        <w:t xml:space="preserve"> (MCSI, also known as the </w:t>
      </w:r>
      <w:r w:rsidRPr="00F926AE">
        <w:t>Advanced Geostationary Radiation Imager</w:t>
      </w:r>
      <w:r>
        <w:t>, AGRI), in 2017.  All these missions</w:t>
      </w:r>
      <w:r w:rsidRPr="00621FA6">
        <w:t xml:space="preserve"> will carry a suite of Earth observing instruments that </w:t>
      </w:r>
      <w:r>
        <w:t xml:space="preserve">will </w:t>
      </w:r>
      <w:r w:rsidRPr="00621FA6">
        <w:t xml:space="preserve">provide significantly improved spectral and spatial </w:t>
      </w:r>
      <w:r>
        <w:t>resolution</w:t>
      </w:r>
      <w:r w:rsidRPr="00621FA6">
        <w:t xml:space="preserve"> compared to </w:t>
      </w:r>
      <w:r>
        <w:t>the</w:t>
      </w:r>
      <w:r w:rsidRPr="00621FA6">
        <w:t xml:space="preserve"> legacy satellites.  </w:t>
      </w:r>
      <w:r>
        <w:t xml:space="preserve">In addition to advanced Earth imagers, several satellites or dedicated geostationary missions also carry other sensors such as lightning sensors, space weather instruments and infrared and ultraviolet/near-infrared sounders.  Nevertheless, the discussion here will be only focused on Earth observing geostationary new generation imagers as today there committed plans for the deployment of this capability for the full geo-ring and providing frequent full-disk imagery. </w:t>
      </w:r>
      <w:r w:rsidRPr="00621FA6">
        <w:t xml:space="preserve">Together, these missions provide continuous observations of more than two thirds of the Earth’s hemisphere </w:t>
      </w:r>
      <w:r>
        <w:t xml:space="preserve">(Figure 1) </w:t>
      </w:r>
      <w:r w:rsidRPr="00621FA6">
        <w:t>at much higher temporal cadences than the current satellites</w:t>
      </w:r>
      <w:r>
        <w:t>. T</w:t>
      </w:r>
      <w:r w:rsidRPr="00621FA6">
        <w:t xml:space="preserve">his offers new opportunities for meteorological as well as a wide suite of non-meteorological applications including but not limited to thematic areas such as agriculture, natural and ecosystem monitoring and management, mapping vector borne diseases and aviation safety.  Since the spectral characteristics of the new generation GEO sensors is based on well proven legacy remote sensing sensors that have been operational in Low Earth Orbit (LEO) orbit for several decades, combining data from these two platforms opens up new possibilities of combining high temporal GEO observations with moderate spatial resolution LEO sensors. </w:t>
      </w:r>
      <w:r>
        <w:t xml:space="preserve">  The following sections describe the capabilities of the next generation operational geostationary missions.</w:t>
      </w:r>
    </w:p>
    <w:p w:rsidR="002F034B" w:rsidRDefault="00190298" w:rsidP="006945BD">
      <w:pPr>
        <w:keepNext/>
        <w:jc w:val="center"/>
      </w:pPr>
      <w:r w:rsidRPr="00190298">
        <w:rPr>
          <w:noProof/>
          <w:lang w:val="en-US" w:eastAsia="en-US"/>
        </w:rPr>
        <w:drawing>
          <wp:inline distT="0" distB="0" distL="0" distR="0">
            <wp:extent cx="5943600" cy="2971800"/>
            <wp:effectExtent l="19050" t="0" r="0" b="0"/>
            <wp:docPr id="20" name="Picture 6" descr="geo_locations_Aug2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_locations_Aug2016.png"/>
                    <pic:cNvPicPr/>
                  </pic:nvPicPr>
                  <pic:blipFill>
                    <a:blip r:embed="rId18" cstate="print"/>
                    <a:stretch>
                      <a:fillRect/>
                    </a:stretch>
                  </pic:blipFill>
                  <pic:spPr>
                    <a:xfrm>
                      <a:off x="0" y="0"/>
                      <a:ext cx="5943600" cy="2971800"/>
                    </a:xfrm>
                    <a:prstGeom prst="rect">
                      <a:avLst/>
                    </a:prstGeom>
                  </pic:spPr>
                </pic:pic>
              </a:graphicData>
            </a:graphic>
          </wp:inline>
        </w:drawing>
      </w:r>
    </w:p>
    <w:p w:rsidR="002F034B" w:rsidRDefault="002F034B" w:rsidP="00280800">
      <w:pPr>
        <w:pStyle w:val="Caption"/>
        <w:spacing w:before="120"/>
        <w:jc w:val="center"/>
      </w:pPr>
      <w:bookmarkStart w:id="9" w:name="_Toc460923858"/>
      <w:r>
        <w:t xml:space="preserve">Figure </w:t>
      </w:r>
      <w:r w:rsidR="00E27A82">
        <w:fldChar w:fldCharType="begin"/>
      </w:r>
      <w:r w:rsidR="002D15AB">
        <w:instrText xml:space="preserve"> SEQ Figure \* ARABIC </w:instrText>
      </w:r>
      <w:r w:rsidR="00E27A82">
        <w:fldChar w:fldCharType="separate"/>
      </w:r>
      <w:r w:rsidR="00ED66C2">
        <w:rPr>
          <w:noProof/>
        </w:rPr>
        <w:t>1</w:t>
      </w:r>
      <w:r w:rsidR="00E27A82">
        <w:fldChar w:fldCharType="end"/>
      </w:r>
      <w:r w:rsidR="002A2607">
        <w:t>:</w:t>
      </w:r>
      <w:r>
        <w:t xml:space="preserve"> Spatial covera</w:t>
      </w:r>
      <w:r w:rsidR="002A2607">
        <w:t>ge from the next generation of g</w:t>
      </w:r>
      <w:r>
        <w:t>eostationary meteorological satellites</w:t>
      </w:r>
      <w:r w:rsidR="002A2607">
        <w:t>.</w:t>
      </w:r>
      <w:bookmarkEnd w:id="9"/>
    </w:p>
    <w:p w:rsidR="00916F8C" w:rsidRDefault="00916F8C" w:rsidP="00C32105">
      <w:pPr>
        <w:pStyle w:val="Heading3"/>
      </w:pPr>
      <w:r>
        <w:t>AMI/ABI/AHI</w:t>
      </w:r>
    </w:p>
    <w:p w:rsidR="00315F48" w:rsidRDefault="00315F48" w:rsidP="00315F48">
      <w:r>
        <w:t xml:space="preserve">The advanced imager </w:t>
      </w:r>
      <w:r w:rsidRPr="001B2B4C">
        <w:t xml:space="preserve">is a multi-channel, visible through </w:t>
      </w:r>
      <w:r>
        <w:t xml:space="preserve">thermal </w:t>
      </w:r>
      <w:r w:rsidRPr="001B2B4C">
        <w:t>infrared, imaging radiometer</w:t>
      </w:r>
      <w:r>
        <w:t xml:space="preserve"> that</w:t>
      </w:r>
      <w:r w:rsidRPr="001B2B4C">
        <w:t xml:space="preserve"> provide</w:t>
      </w:r>
      <w:r>
        <w:t>s</w:t>
      </w:r>
      <w:r w:rsidRPr="001B2B4C">
        <w:t xml:space="preserve"> </w:t>
      </w:r>
      <w:r>
        <w:t xml:space="preserve">observations in </w:t>
      </w:r>
      <w:r w:rsidRPr="001B2B4C">
        <w:t>sixteen spectral channels</w:t>
      </w:r>
      <w:r>
        <w:t>,</w:t>
      </w:r>
      <w:r w:rsidRPr="001B2B4C">
        <w:t xml:space="preserve"> </w:t>
      </w:r>
      <w:r>
        <w:t>which significantly exceeds the</w:t>
      </w:r>
      <w:r w:rsidRPr="001B2B4C">
        <w:t xml:space="preserve"> five</w:t>
      </w:r>
      <w:r>
        <w:t>-</w:t>
      </w:r>
      <w:r w:rsidRPr="001B2B4C">
        <w:t>channel</w:t>
      </w:r>
      <w:r>
        <w:t>s of the Imager</w:t>
      </w:r>
      <w:r w:rsidRPr="001B2B4C">
        <w:t xml:space="preserve"> on the current GOES I/P series</w:t>
      </w:r>
      <w:r>
        <w:t xml:space="preserve"> (Schmit et al. 2005).  All the three advanced imagers (AHI, ABI and AMI) are built by Harris Corporation, and are identical in design apart from minor differences in the choice of spectral bands.  Of the sixteen spectral bands, there is a solar reflective band with a 0.5 km spatial resolution, three solar reflective bands at 1 km spatial resolution and twelve IR bands at 2 km spatial resolution.  The spectral ranges of channels among the imagers are configured uniquely depending upon the meteorological agencies requirements (Table 1).  All the imagers are flexible in regards to how much of the Earth they can scan and how frequently an area can be scanned.  The specific scanning scenarios are defined by the user as a “timeline” and the imaging sequence and frequency follows the timeline.  For example, in a given timeline, the entire full disk of the Earth can be imaged in all 16 bands at a 10 minute interval while imaging</w:t>
      </w:r>
      <w:r w:rsidR="00A979D9">
        <w:t xml:space="preserve"> two separate 1000 km x 1000 km</w:t>
      </w:r>
      <w:r>
        <w:t xml:space="preserve"> areas every 30 seconds.   A timeline therefore defines what to observe and when.  Within a given timeline, the imager also observes internal calibration targets such as black body, space looks and stars for radiometric calibration and navigation.  All this data is seamlessly interleaved and transmitted to a command and data handling ground station, where the raw data is processed as follows:</w:t>
      </w:r>
    </w:p>
    <w:p w:rsidR="00916F8C" w:rsidRDefault="00916F8C" w:rsidP="00403CDD">
      <w:pPr>
        <w:numPr>
          <w:ilvl w:val="0"/>
          <w:numId w:val="17"/>
        </w:numPr>
        <w:ind w:left="714" w:hanging="357"/>
      </w:pPr>
      <w:r>
        <w:t>Uncompressed to detector sample values</w:t>
      </w:r>
    </w:p>
    <w:p w:rsidR="00916F8C" w:rsidRDefault="00916F8C" w:rsidP="00403CDD">
      <w:pPr>
        <w:numPr>
          <w:ilvl w:val="0"/>
          <w:numId w:val="17"/>
        </w:numPr>
        <w:ind w:left="714" w:hanging="357"/>
      </w:pPr>
      <w:r>
        <w:t>Radiometric calibration is applied</w:t>
      </w:r>
    </w:p>
    <w:p w:rsidR="00916F8C" w:rsidRDefault="00916F8C" w:rsidP="00403CDD">
      <w:pPr>
        <w:numPr>
          <w:ilvl w:val="0"/>
          <w:numId w:val="17"/>
        </w:numPr>
        <w:ind w:left="714" w:hanging="357"/>
      </w:pPr>
      <w:r>
        <w:t>Calibrated detector values are navigated to Earth location</w:t>
      </w:r>
    </w:p>
    <w:p w:rsidR="00916F8C" w:rsidRDefault="00916F8C" w:rsidP="00403CDD">
      <w:pPr>
        <w:numPr>
          <w:ilvl w:val="0"/>
          <w:numId w:val="17"/>
        </w:numPr>
        <w:ind w:left="714" w:hanging="357"/>
      </w:pPr>
      <w:r>
        <w:t>Calibrated and navigated values are re-sampled to form pixels, and finally,</w:t>
      </w:r>
    </w:p>
    <w:p w:rsidR="00137114" w:rsidRDefault="00916F8C" w:rsidP="00403CDD">
      <w:pPr>
        <w:numPr>
          <w:ilvl w:val="0"/>
          <w:numId w:val="17"/>
        </w:numPr>
        <w:ind w:left="714" w:hanging="357"/>
      </w:pPr>
      <w:r>
        <w:t>Generating images in a fixed grid Cartesian projection</w:t>
      </w:r>
    </w:p>
    <w:p w:rsidR="00137114" w:rsidRDefault="00137114" w:rsidP="00BD76A5"/>
    <w:p w:rsidR="00137114" w:rsidRDefault="00C53C9A" w:rsidP="00C102CE">
      <w:pPr>
        <w:pStyle w:val="Caption"/>
        <w:spacing w:before="0" w:after="0"/>
        <w:jc w:val="center"/>
      </w:pPr>
      <w:bookmarkStart w:id="10" w:name="_Ref459133670"/>
      <w:bookmarkStart w:id="11" w:name="_Toc460923898"/>
      <w:r>
        <w:t xml:space="preserve">Table </w:t>
      </w:r>
      <w:fldSimple w:instr=" SEQ Table \* ARABIC ">
        <w:r w:rsidR="00ED66C2">
          <w:rPr>
            <w:noProof/>
          </w:rPr>
          <w:t>1</w:t>
        </w:r>
      </w:fldSimple>
      <w:bookmarkEnd w:id="10"/>
      <w:r w:rsidR="002A2607">
        <w:t>:</w:t>
      </w:r>
      <w:r w:rsidRPr="00C53C9A">
        <w:t xml:space="preserve"> </w:t>
      </w:r>
      <w:r>
        <w:t>Comparison of multi-band imagers of geostationary satellites.</w:t>
      </w:r>
      <w:bookmarkEnd w:id="11"/>
    </w:p>
    <w:p w:rsidR="00137114" w:rsidRDefault="00077EFF" w:rsidP="00ED66C2">
      <w:pPr>
        <w:spacing w:after="0"/>
        <w:jc w:val="left"/>
      </w:pPr>
      <w:r>
        <w:rPr>
          <w:noProof/>
          <w:lang w:val="en-US" w:eastAsia="en-US"/>
        </w:rPr>
        <w:drawing>
          <wp:inline distT="0" distB="0" distL="0" distR="0">
            <wp:extent cx="6045250" cy="3682973"/>
            <wp:effectExtent l="19050" t="0" r="0"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6045250" cy="3682973"/>
                    </a:xfrm>
                    <a:prstGeom prst="rect">
                      <a:avLst/>
                    </a:prstGeom>
                    <a:noFill/>
                    <a:ln w="9525">
                      <a:noFill/>
                      <a:miter lim="800000"/>
                      <a:headEnd/>
                      <a:tailEnd/>
                    </a:ln>
                  </pic:spPr>
                </pic:pic>
              </a:graphicData>
            </a:graphic>
          </wp:inline>
        </w:drawing>
      </w:r>
    </w:p>
    <w:p w:rsidR="00916F8C" w:rsidRDefault="00916F8C" w:rsidP="00C32105">
      <w:pPr>
        <w:pStyle w:val="Heading3"/>
      </w:pPr>
      <w:r>
        <w:t>Him</w:t>
      </w:r>
      <w:r w:rsidR="00137114">
        <w:t>a</w:t>
      </w:r>
      <w:r>
        <w:t>wari-8 Concept of Operations</w:t>
      </w:r>
    </w:p>
    <w:p w:rsidR="00916F8C" w:rsidRDefault="00315F48" w:rsidP="00403CDD">
      <w:pPr>
        <w:spacing w:after="240"/>
      </w:pPr>
      <w:r>
        <w:t xml:space="preserve">Himawari-8 is designed to have an operation life of at least seven years and will be replaced by Himawari-9, which is expected to be launched in 2016 and stored in orbit until needed for operations.  Both satellites are therefore expected to provide coverage until 2029.  AHI data collection has a 10 minute timeline (Bessho, et al. 2016).  Within a 10 minute interval, the full disk is imaged once; two regions (Region 1 and 2) covering Japan are imaged every 2.5 minutes; a “Target Area” (Region 3) is imaged every 2.5 minutes; and two “Land mark” area (Regions 4 and 5) are imaged every 30 seconds (Figure 2).  </w:t>
      </w:r>
    </w:p>
    <w:p w:rsidR="00916F8C" w:rsidRDefault="00E20A8A" w:rsidP="00916F8C">
      <w:pPr>
        <w:keepNext/>
      </w:pPr>
      <w:r>
        <w:rPr>
          <w:noProof/>
          <w:lang w:val="en-US" w:eastAsia="en-US"/>
        </w:rPr>
        <w:drawing>
          <wp:inline distT="0" distB="0" distL="0" distR="0">
            <wp:extent cx="6041902" cy="2866030"/>
            <wp:effectExtent l="19050" t="0" r="0" b="0"/>
            <wp:docPr id="3" name="Picture 1" descr="http://www.data.jma.go.jp/mscweb/en/himawari89/space_segment/fig/ahi_ob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ta.jma.go.jp/mscweb/en/himawari89/space_segment/fig/ahi_obs.png"/>
                    <pic:cNvPicPr>
                      <a:picLocks noChangeAspect="1" noChangeArrowheads="1"/>
                    </pic:cNvPicPr>
                  </pic:nvPicPr>
                  <pic:blipFill>
                    <a:blip r:embed="rId20" cstate="print"/>
                    <a:srcRect/>
                    <a:stretch>
                      <a:fillRect/>
                    </a:stretch>
                  </pic:blipFill>
                  <pic:spPr bwMode="auto">
                    <a:xfrm>
                      <a:off x="0" y="0"/>
                      <a:ext cx="6055484" cy="2872473"/>
                    </a:xfrm>
                    <a:prstGeom prst="rect">
                      <a:avLst/>
                    </a:prstGeom>
                    <a:noFill/>
                    <a:ln w="9525">
                      <a:noFill/>
                      <a:miter lim="800000"/>
                      <a:headEnd/>
                      <a:tailEnd/>
                    </a:ln>
                  </pic:spPr>
                </pic:pic>
              </a:graphicData>
            </a:graphic>
          </wp:inline>
        </w:drawing>
      </w:r>
    </w:p>
    <w:p w:rsidR="00916F8C" w:rsidRDefault="00916F8C" w:rsidP="006945BD">
      <w:pPr>
        <w:pStyle w:val="Caption"/>
        <w:spacing w:before="120"/>
        <w:jc w:val="center"/>
      </w:pPr>
      <w:bookmarkStart w:id="12" w:name="_Toc460923859"/>
      <w:r>
        <w:t xml:space="preserve">Figure </w:t>
      </w:r>
      <w:r w:rsidR="00E27A82">
        <w:fldChar w:fldCharType="begin"/>
      </w:r>
      <w:r w:rsidR="002D15AB">
        <w:instrText xml:space="preserve"> SEQ Figure \* ARABIC </w:instrText>
      </w:r>
      <w:r w:rsidR="00E27A82">
        <w:fldChar w:fldCharType="separate"/>
      </w:r>
      <w:r w:rsidR="00ED66C2">
        <w:rPr>
          <w:noProof/>
        </w:rPr>
        <w:t>2</w:t>
      </w:r>
      <w:r w:rsidR="00E27A82">
        <w:fldChar w:fldCharType="end"/>
      </w:r>
      <w:r w:rsidR="002A2607">
        <w:t>:</w:t>
      </w:r>
      <w:r>
        <w:t xml:space="preserve"> AHI data collection timeline</w:t>
      </w:r>
      <w:r w:rsidR="002A2607">
        <w:t>.</w:t>
      </w:r>
      <w:bookmarkEnd w:id="12"/>
    </w:p>
    <w:p w:rsidR="00403CDD" w:rsidRPr="00403CDD" w:rsidRDefault="00403CDD" w:rsidP="00403CDD"/>
    <w:p w:rsidR="00403CDD" w:rsidRDefault="00403CDD" w:rsidP="00916F8C">
      <w:r>
        <w:t>Whereas the full disk and spatial coverage of Regions 1 and 2 are fixed, the locations of Regions 3, 4 and 5 can be moved around. Therefore, within a 10 minute timeline, the full disk is imaged once, the Japanese region and the Target Area are imaged four times and the Land Mark areas are imaged 20 times.   Regions 1 and 2 that cover Japan are 3000 km x 2400 km each.  Regions 3,4, and 5 are 1000 km x 1000 km each.</w:t>
      </w:r>
    </w:p>
    <w:p w:rsidR="00F32027" w:rsidRDefault="00916F8C" w:rsidP="00916F8C">
      <w:r>
        <w:t>Raw AHI data is down</w:t>
      </w:r>
      <w:r w:rsidR="002A2607">
        <w:t>-</w:t>
      </w:r>
      <w:r>
        <w:t>linked in the Ka-band at two ground stations located at Kanto (primary) and Hokkaido (secondary)</w:t>
      </w:r>
      <w:r w:rsidR="00F32027">
        <w:t xml:space="preserve"> (Figure 3)</w:t>
      </w:r>
      <w:r>
        <w:t xml:space="preserve">.  On the ground, raw AHI data processed to Level 1a (known as Himawari radiometric data, which are raw data with calibration and navigation parameters appended).  Level 1a data from both the primary or secondary ground station are sent to the Meteorological Satellite </w:t>
      </w:r>
      <w:r w:rsidR="00A979D9">
        <w:t>Centre</w:t>
      </w:r>
      <w:r>
        <w:t xml:space="preserve"> (MSC) located in Tokyo (back up facility in Osaka) where it is further processed in to two higher level products: Level 1b Him</w:t>
      </w:r>
      <w:r w:rsidR="00137114">
        <w:t>a</w:t>
      </w:r>
      <w:r>
        <w:t>wari Standard Data (HSD) and the High-rate Information Transmission (HRIT) files.  HSD is the full resolution, 16 band calibrated and geolocated AHI data.  HRIT data has a lower spatial resolution and smaller data volume compared to HSD, and consists of a visible band at 1 km, three NIR at 4 km and ten IR bands at 4 km spatial resolution respectively.  HSD and HRIT data covering the entire full disk in a 10 minute timeline is stored as 10 segment files, where a segment covers an East-West swatch.  In addition to HSD and HRIT, a true colo</w:t>
      </w:r>
      <w:r w:rsidR="002A2607">
        <w:t>u</w:t>
      </w:r>
      <w:r>
        <w:t xml:space="preserve">r full disk RGB image in the Portable Network Graphics (PNG) is created from the three reflective bands at a spatial resolution of 1 km.  </w:t>
      </w:r>
    </w:p>
    <w:p w:rsidR="00BD76A5" w:rsidRDefault="00E20A8A" w:rsidP="00BD76A5">
      <w:pPr>
        <w:keepNext/>
        <w:jc w:val="center"/>
      </w:pPr>
      <w:r>
        <w:rPr>
          <w:noProof/>
          <w:lang w:val="en-US" w:eastAsia="en-US"/>
        </w:rPr>
        <w:drawing>
          <wp:inline distT="0" distB="0" distL="0" distR="0">
            <wp:extent cx="5524500" cy="4145280"/>
            <wp:effectExtent l="19050" t="0" r="0" b="0"/>
            <wp:docPr id="11" name="Picture 11" descr="Overview of ground seg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verview of ground segment"/>
                    <pic:cNvPicPr>
                      <a:picLocks noChangeAspect="1" noChangeArrowheads="1"/>
                    </pic:cNvPicPr>
                  </pic:nvPicPr>
                  <pic:blipFill>
                    <a:blip r:embed="rId21" cstate="print"/>
                    <a:srcRect/>
                    <a:stretch>
                      <a:fillRect/>
                    </a:stretch>
                  </pic:blipFill>
                  <pic:spPr bwMode="auto">
                    <a:xfrm>
                      <a:off x="0" y="0"/>
                      <a:ext cx="5524500" cy="4145280"/>
                    </a:xfrm>
                    <a:prstGeom prst="rect">
                      <a:avLst/>
                    </a:prstGeom>
                    <a:noFill/>
                    <a:ln w="9525">
                      <a:noFill/>
                      <a:miter lim="800000"/>
                      <a:headEnd/>
                      <a:tailEnd/>
                    </a:ln>
                  </pic:spPr>
                </pic:pic>
              </a:graphicData>
            </a:graphic>
          </wp:inline>
        </w:drawing>
      </w:r>
    </w:p>
    <w:p w:rsidR="00F32027" w:rsidRDefault="00BD76A5" w:rsidP="00403CDD">
      <w:pPr>
        <w:pStyle w:val="Caption"/>
        <w:spacing w:before="0"/>
        <w:jc w:val="center"/>
      </w:pPr>
      <w:bookmarkStart w:id="13" w:name="_Toc460923860"/>
      <w:r>
        <w:t xml:space="preserve">Figure </w:t>
      </w:r>
      <w:r w:rsidR="00E27A82">
        <w:fldChar w:fldCharType="begin"/>
      </w:r>
      <w:r w:rsidR="002D15AB">
        <w:instrText xml:space="preserve"> SEQ Figure \* ARABIC </w:instrText>
      </w:r>
      <w:r w:rsidR="00E27A82">
        <w:fldChar w:fldCharType="separate"/>
      </w:r>
      <w:r w:rsidR="00ED66C2">
        <w:rPr>
          <w:noProof/>
        </w:rPr>
        <w:t>3</w:t>
      </w:r>
      <w:r w:rsidR="00E27A82">
        <w:fldChar w:fldCharType="end"/>
      </w:r>
      <w:r w:rsidR="002A2607">
        <w:t>:</w:t>
      </w:r>
      <w:r w:rsidRPr="00BD76A5">
        <w:t xml:space="preserve"> </w:t>
      </w:r>
      <w:r>
        <w:t>Himawari-8 system architecture</w:t>
      </w:r>
      <w:r w:rsidR="002A2607">
        <w:t>.</w:t>
      </w:r>
      <w:bookmarkEnd w:id="13"/>
    </w:p>
    <w:p w:rsidR="00916F8C" w:rsidRDefault="00916F8C" w:rsidP="00916F8C">
      <w:r>
        <w:t>The primary method for users to access the HSD and PNG data is through the internet.  Up to 72 hours of data is stored on the HimawariCloud</w:t>
      </w:r>
      <w:r w:rsidR="005D40D8">
        <w:t xml:space="preserve"> (JMA URL 1, 2016) </w:t>
      </w:r>
      <w:r>
        <w:t xml:space="preserve">and users with a subscription can download the data through HTTP1.1/TLS1.0 protocol </w:t>
      </w:r>
      <w:r w:rsidR="005D40D8">
        <w:t>(JMA URL 2, 2016).</w:t>
      </w:r>
      <w:r>
        <w:t xml:space="preserve"> Besides the 10 minute full disk data, users can also download the full resolution Target Area files that are collected every 2.5 minutes in HSD and NetCDF formats as well as true color PNG files from the HimawariCloud. </w:t>
      </w:r>
    </w:p>
    <w:p w:rsidR="005D40D8" w:rsidRDefault="00916F8C" w:rsidP="00916F8C">
      <w:r>
        <w:t>The HRIT data is broadcast as “HimawariCast” using a communication satellite (JCSAT 2A/2B) and the HRIT data format is compatible with the legacy MTSAT HRIT data format.  Users need a C band DVB-S2 antenna receiver and computers to downlink and process the HRIT data.  Full specifications for the HimawariCast antennas and the computer/software to process the H</w:t>
      </w:r>
      <w:r w:rsidR="005D40D8">
        <w:t>RID data can be found at (JMA URL 3, 2016).</w:t>
      </w:r>
      <w:r>
        <w:t xml:space="preserve"> </w:t>
      </w:r>
    </w:p>
    <w:p w:rsidR="00916F8C" w:rsidRPr="00916F8C" w:rsidRDefault="00916F8C" w:rsidP="00C32105">
      <w:pPr>
        <w:pStyle w:val="Heading3"/>
      </w:pPr>
      <w:r>
        <w:t>GOES-R Concept of Operations</w:t>
      </w:r>
    </w:p>
    <w:p w:rsidR="00315F48" w:rsidRDefault="00315F48" w:rsidP="00315F48">
      <w:r w:rsidRPr="00621FA6">
        <w:t>In 2016, the United States National Oceanic and Atmospheric Administration (NOAA) is expected to launch the first satellite in a</w:t>
      </w:r>
      <w:r>
        <w:t xml:space="preserve"> new mission of</w:t>
      </w:r>
      <w:r w:rsidRPr="00621FA6">
        <w:t xml:space="preserve"> four </w:t>
      </w:r>
      <w:r>
        <w:t>satellites continuing the</w:t>
      </w:r>
      <w:r w:rsidRPr="00621FA6">
        <w:t xml:space="preserve"> Geostationary Operational Environmental Satellites (GOES)</w:t>
      </w:r>
      <w:r>
        <w:t xml:space="preserve"> series. </w:t>
      </w:r>
      <w:r w:rsidRPr="00621FA6">
        <w:rPr>
          <w:szCs w:val="24"/>
        </w:rPr>
        <w:t>Th</w:t>
      </w:r>
      <w:r>
        <w:rPr>
          <w:szCs w:val="24"/>
        </w:rPr>
        <w:t>is</w:t>
      </w:r>
      <w:r w:rsidRPr="00621FA6">
        <w:rPr>
          <w:szCs w:val="24"/>
        </w:rPr>
        <w:t xml:space="preserve"> next generation of GOES satellites, the GOES-R series, is scheduled to launch in 2016 and, once operational, will provide significant enhancements that go well beyond the current capabilities</w:t>
      </w:r>
      <w:r>
        <w:rPr>
          <w:szCs w:val="24"/>
        </w:rPr>
        <w:t>.</w:t>
      </w:r>
      <w:r w:rsidRPr="00621FA6">
        <w:rPr>
          <w:szCs w:val="24"/>
        </w:rPr>
        <w:t xml:space="preserve">  Four satellites will be launched (</w:t>
      </w:r>
      <w:bookmarkStart w:id="14" w:name="OLE_LINK38"/>
      <w:bookmarkStart w:id="15" w:name="OLE_LINK39"/>
      <w:r w:rsidRPr="00621FA6">
        <w:rPr>
          <w:szCs w:val="24"/>
        </w:rPr>
        <w:t>GOES-R, S, T and U</w:t>
      </w:r>
      <w:bookmarkEnd w:id="14"/>
      <w:bookmarkEnd w:id="15"/>
      <w:r w:rsidRPr="00621FA6">
        <w:rPr>
          <w:szCs w:val="24"/>
        </w:rPr>
        <w:t>) and, in accordance with NOAA naming convention, will be designated GOES-16 through 19 after successful insertion into geostationary orbit.</w:t>
      </w:r>
      <w:r w:rsidRPr="00621FA6">
        <w:rPr>
          <w:rStyle w:val="Style11pt"/>
          <w:rFonts w:asciiTheme="majorHAnsi" w:hAnsiTheme="majorHAnsi"/>
          <w:szCs w:val="24"/>
        </w:rPr>
        <w:t xml:space="preserve"> </w:t>
      </w:r>
      <w:r>
        <w:rPr>
          <w:rStyle w:val="Style11pt"/>
          <w:rFonts w:asciiTheme="majorHAnsi" w:hAnsiTheme="majorHAnsi"/>
          <w:szCs w:val="24"/>
        </w:rPr>
        <w:t>The GOES-R series</w:t>
      </w:r>
      <w:r w:rsidRPr="00621FA6">
        <w:t xml:space="preserve"> will carry the Advanced Baseline Imager (ABI) whose design is identical to AHI.  </w:t>
      </w:r>
    </w:p>
    <w:p w:rsidR="00916F8C" w:rsidRPr="00190298" w:rsidRDefault="00916F8C" w:rsidP="00190298">
      <w:r w:rsidRPr="00190298">
        <w:rPr>
          <w:rStyle w:val="Style11pt"/>
          <w:rFonts w:asciiTheme="minorHAnsi" w:hAnsiTheme="minorHAnsi"/>
          <w:szCs w:val="24"/>
        </w:rPr>
        <w:t xml:space="preserve">The GOES-R series represents a generational change in geostationary meteorological observation to meet forecasting and environmental monitoring requirements. GOES-R products will be much more advanced compared to the legacy GOES I-P (GOES 8-15) series in terms of spatial, spectral, and, especially, temporal resolution. </w:t>
      </w:r>
      <w:r w:rsidRPr="00190298">
        <w:t>The two operational satellites will be located at East (75°W longitude) and West (137°W longitude), providing simultaneous, continuous coverage of the entire Western hemisphere 24 h a day.</w:t>
      </w:r>
    </w:p>
    <w:p w:rsidR="00916F8C" w:rsidRDefault="00916F8C" w:rsidP="00916F8C">
      <w:r w:rsidRPr="00621FA6">
        <w:t>The Earth and space observation technology improvements embodied in GOES-R will enable a higher science data rate compared to the current GOES satellites. For instance, while the downlink data rate for raw science and telemetry from the current operational GOES satellites</w:t>
      </w:r>
      <w:r w:rsidRPr="00621FA6" w:rsidDel="00E2703C">
        <w:t xml:space="preserve"> </w:t>
      </w:r>
      <w:r w:rsidRPr="00621FA6">
        <w:t>is 2.76 Megabits per second (Mbps) 24 hours per day, the peak downlink data rate for raw science and telemetry from the GOES-R series spacecraft command and data handling system is 120 Mbps in the X-band. Under nominal operations, the data content from the six GOES-R series instruments is expected to reach 78 Mbps, offering margin for higher data rates to support instruments operating in diagnostic mode.</w:t>
      </w:r>
    </w:p>
    <w:p w:rsidR="00916F8C" w:rsidRDefault="00916F8C" w:rsidP="00916F8C">
      <w:pPr>
        <w:rPr>
          <w:rStyle w:val="bodytext12-black"/>
          <w:szCs w:val="24"/>
        </w:rPr>
      </w:pPr>
      <w:r>
        <w:t>While ABI can be configured to image different areas of the Earth at different observation cadence, the launch baseline is configured to operate in two modes</w:t>
      </w:r>
      <w:r w:rsidRPr="00E660AD">
        <w:rPr>
          <w:rStyle w:val="bodytext12-black"/>
          <w:szCs w:val="24"/>
        </w:rPr>
        <w:t xml:space="preserve"> or timelines: Mode 3, or flex mode, and Mode 4, or continuous full-disk mode</w:t>
      </w:r>
      <w:r>
        <w:rPr>
          <w:rStyle w:val="bodytext12-black"/>
          <w:szCs w:val="24"/>
        </w:rPr>
        <w:t>.</w:t>
      </w:r>
      <w:r w:rsidRPr="00E660AD">
        <w:rPr>
          <w:rStyle w:val="bodytext12-black"/>
          <w:szCs w:val="24"/>
        </w:rPr>
        <w:t xml:space="preserve"> In Mode 3, the Earth’s full hemisphere is imaged every 15 </w:t>
      </w:r>
      <w:r w:rsidRPr="00D9545F">
        <w:rPr>
          <w:rStyle w:val="bodytext12-black"/>
          <w:szCs w:val="24"/>
        </w:rPr>
        <w:t>min</w:t>
      </w:r>
      <w:r>
        <w:rPr>
          <w:rStyle w:val="bodytext12-black"/>
          <w:szCs w:val="24"/>
        </w:rPr>
        <w:t>utes</w:t>
      </w:r>
      <w:r w:rsidRPr="00E660AD">
        <w:rPr>
          <w:rStyle w:val="bodytext12-black"/>
          <w:szCs w:val="24"/>
        </w:rPr>
        <w:t xml:space="preserve">, a Continental U.S. (CONUS) image is collected every 5 </w:t>
      </w:r>
      <w:r w:rsidRPr="00D9545F">
        <w:rPr>
          <w:rStyle w:val="bodytext12-black"/>
          <w:szCs w:val="24"/>
        </w:rPr>
        <w:t>min</w:t>
      </w:r>
      <w:r>
        <w:rPr>
          <w:rStyle w:val="bodytext12-black"/>
          <w:szCs w:val="24"/>
        </w:rPr>
        <w:t>utes</w:t>
      </w:r>
      <w:r w:rsidRPr="00D9545F">
        <w:rPr>
          <w:rStyle w:val="bodytext12-black"/>
          <w:szCs w:val="24"/>
        </w:rPr>
        <w:t>,</w:t>
      </w:r>
      <w:r w:rsidRPr="00E660AD">
        <w:rPr>
          <w:rStyle w:val="bodytext12-black"/>
          <w:szCs w:val="24"/>
        </w:rPr>
        <w:t xml:space="preserve"> a</w:t>
      </w:r>
      <w:r>
        <w:rPr>
          <w:rStyle w:val="bodytext12-black"/>
          <w:szCs w:val="24"/>
        </w:rPr>
        <w:t>nd one mesoscale image (1000 km</w:t>
      </w:r>
      <w:r w:rsidRPr="00D9545F">
        <w:rPr>
          <w:rStyle w:val="bodytext12-black"/>
          <w:szCs w:val="24"/>
        </w:rPr>
        <w:t xml:space="preserve"> × </w:t>
      </w:r>
      <w:r w:rsidRPr="00E660AD">
        <w:rPr>
          <w:rStyle w:val="bodytext12-black"/>
          <w:szCs w:val="24"/>
        </w:rPr>
        <w:t>1000 km at the satellite sub point) is</w:t>
      </w:r>
      <w:r>
        <w:rPr>
          <w:rStyle w:val="bodytext12-black"/>
          <w:szCs w:val="24"/>
        </w:rPr>
        <w:t xml:space="preserve"> collected every 30 </w:t>
      </w:r>
      <w:r w:rsidRPr="00D9545F">
        <w:rPr>
          <w:rStyle w:val="bodytext12-black"/>
          <w:szCs w:val="24"/>
        </w:rPr>
        <w:t>s</w:t>
      </w:r>
      <w:r>
        <w:rPr>
          <w:rStyle w:val="bodytext12-black"/>
          <w:szCs w:val="24"/>
        </w:rPr>
        <w:t>econds.</w:t>
      </w:r>
      <w:r w:rsidRPr="00E660AD">
        <w:rPr>
          <w:rStyle w:val="bodytext12-black"/>
          <w:szCs w:val="24"/>
        </w:rPr>
        <w:t xml:space="preserve"> In Mode 4, the Earth’s hemisp</w:t>
      </w:r>
      <w:r>
        <w:rPr>
          <w:rStyle w:val="bodytext12-black"/>
          <w:szCs w:val="24"/>
        </w:rPr>
        <w:t xml:space="preserve">here is imaged every 5 </w:t>
      </w:r>
      <w:r w:rsidRPr="00D9545F">
        <w:rPr>
          <w:rStyle w:val="bodytext12-black"/>
          <w:szCs w:val="24"/>
        </w:rPr>
        <w:t>min</w:t>
      </w:r>
      <w:r w:rsidR="00F32027">
        <w:rPr>
          <w:rStyle w:val="bodytext12-black"/>
          <w:szCs w:val="24"/>
        </w:rPr>
        <w:t>utes (Figure 4</w:t>
      </w:r>
      <w:r>
        <w:rPr>
          <w:rStyle w:val="bodytext12-black"/>
          <w:szCs w:val="24"/>
        </w:rPr>
        <w:t>)</w:t>
      </w:r>
      <w:r w:rsidRPr="00D9545F">
        <w:rPr>
          <w:rStyle w:val="bodytext12-black"/>
          <w:szCs w:val="24"/>
        </w:rPr>
        <w:t>.</w:t>
      </w:r>
    </w:p>
    <w:p w:rsidR="00BD76A5" w:rsidRDefault="00E20A8A" w:rsidP="00BD76A5">
      <w:pPr>
        <w:keepNext/>
        <w:jc w:val="center"/>
      </w:pPr>
      <w:r>
        <w:rPr>
          <w:noProof/>
          <w:lang w:val="en-US" w:eastAsia="en-US"/>
        </w:rPr>
        <w:drawing>
          <wp:inline distT="0" distB="0" distL="0" distR="0">
            <wp:extent cx="3048000" cy="2887980"/>
            <wp:effectExtent l="19050" t="0" r="0" b="0"/>
            <wp:docPr id="4" name="Picture 1" descr="C:\Users\satya.kalluri\Deskto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tya.kalluri\Desktop\Picture1.png"/>
                    <pic:cNvPicPr>
                      <a:picLocks noChangeAspect="1" noChangeArrowheads="1"/>
                    </pic:cNvPicPr>
                  </pic:nvPicPr>
                  <pic:blipFill>
                    <a:blip r:embed="rId22" cstate="print"/>
                    <a:srcRect r="10175"/>
                    <a:stretch>
                      <a:fillRect/>
                    </a:stretch>
                  </pic:blipFill>
                  <pic:spPr bwMode="auto">
                    <a:xfrm>
                      <a:off x="0" y="0"/>
                      <a:ext cx="3048000" cy="2887980"/>
                    </a:xfrm>
                    <a:prstGeom prst="rect">
                      <a:avLst/>
                    </a:prstGeom>
                    <a:noFill/>
                    <a:ln w="9525">
                      <a:noFill/>
                      <a:miter lim="800000"/>
                      <a:headEnd/>
                      <a:tailEnd/>
                    </a:ln>
                  </pic:spPr>
                </pic:pic>
              </a:graphicData>
            </a:graphic>
          </wp:inline>
        </w:drawing>
      </w:r>
    </w:p>
    <w:p w:rsidR="00916F8C" w:rsidRDefault="00BD76A5" w:rsidP="00BD76A5">
      <w:pPr>
        <w:pStyle w:val="Caption"/>
        <w:jc w:val="center"/>
      </w:pPr>
      <w:bookmarkStart w:id="16" w:name="_Toc460923861"/>
      <w:r>
        <w:t xml:space="preserve">Figure </w:t>
      </w:r>
      <w:r w:rsidR="00E27A82">
        <w:fldChar w:fldCharType="begin"/>
      </w:r>
      <w:r w:rsidR="002D15AB">
        <w:instrText xml:space="preserve"> SEQ Figure \* ARABIC </w:instrText>
      </w:r>
      <w:r w:rsidR="00E27A82">
        <w:fldChar w:fldCharType="separate"/>
      </w:r>
      <w:r w:rsidR="00ED66C2">
        <w:rPr>
          <w:noProof/>
        </w:rPr>
        <w:t>4</w:t>
      </w:r>
      <w:r w:rsidR="00E27A82">
        <w:fldChar w:fldCharType="end"/>
      </w:r>
      <w:r w:rsidR="00910C60">
        <w:t>:</w:t>
      </w:r>
      <w:r w:rsidRPr="00BD76A5">
        <w:t xml:space="preserve"> </w:t>
      </w:r>
      <w:r>
        <w:t>ABI data collection scene definitions</w:t>
      </w:r>
      <w:r w:rsidR="00910C60">
        <w:t>.</w:t>
      </w:r>
      <w:bookmarkEnd w:id="16"/>
    </w:p>
    <w:p w:rsidR="00190298" w:rsidRDefault="00190298" w:rsidP="00641C0D">
      <w:pPr>
        <w:spacing w:after="240"/>
        <w:ind w:firstLine="284"/>
        <w:rPr>
          <w:rStyle w:val="bodytext12-black"/>
        </w:rPr>
      </w:pPr>
      <w:r w:rsidRPr="00E660AD">
        <w:rPr>
          <w:rStyle w:val="bodytext12-black"/>
        </w:rPr>
        <w:t xml:space="preserve">The GOES-R Ground System </w:t>
      </w:r>
      <w:r>
        <w:rPr>
          <w:rStyle w:val="bodytext12-black"/>
        </w:rPr>
        <w:t xml:space="preserve">(GS) </w:t>
      </w:r>
      <w:r w:rsidRPr="00E660AD">
        <w:rPr>
          <w:rStyle w:val="bodytext12-black"/>
        </w:rPr>
        <w:t>has three geographically separate operational site</w:t>
      </w:r>
      <w:r>
        <w:rPr>
          <w:rStyle w:val="bodytext12-black"/>
        </w:rPr>
        <w:t>s (Figure 5)</w:t>
      </w:r>
      <w:r w:rsidRPr="00E660AD">
        <w:rPr>
          <w:rStyle w:val="bodytext12-black"/>
        </w:rPr>
        <w:t>. The first of these, the Wallops Command and Data Acquisition Station (WCDAS) in Wallops, Virginia, will provide the primary Mission Management (MM) satellite command and control services and selected Product Generation (PG) and Product Distribution (PD) services</w:t>
      </w:r>
      <w:r>
        <w:rPr>
          <w:rStyle w:val="bodytext12-black"/>
        </w:rPr>
        <w:t xml:space="preserve"> (Kalluri et al. 2015)</w:t>
      </w:r>
      <w:r w:rsidRPr="00E660AD">
        <w:rPr>
          <w:rStyle w:val="bodytext12-black"/>
        </w:rPr>
        <w:t xml:space="preserve">. These services convert the raw satellite sensor measurements to L1b data </w:t>
      </w:r>
      <w:r>
        <w:rPr>
          <w:rStyle w:val="bodytext12-black"/>
        </w:rPr>
        <w:t>which is rebroadcast over the western hemisphere at L-band frequency as GOES Rebroadcast Services (GRB)</w:t>
      </w:r>
      <w:r w:rsidRPr="00E660AD">
        <w:rPr>
          <w:rStyle w:val="bodytext12-black"/>
        </w:rPr>
        <w:t>.</w:t>
      </w:r>
      <w:r>
        <w:rPr>
          <w:rStyle w:val="bodytext12-black"/>
        </w:rPr>
        <w:t xml:space="preserve"> </w:t>
      </w:r>
      <w:r w:rsidRPr="00E660AD">
        <w:rPr>
          <w:rStyle w:val="bodytext12-black"/>
        </w:rPr>
        <w:t>The second operational GS site is the Consolidated Backup Unit (CBU) in Fairmont, West Virginia, which performs all MM, PG and PD functions performed at WCDAS as a redundant, secondary “hot backup”.</w:t>
      </w:r>
      <w:r>
        <w:rPr>
          <w:rStyle w:val="bodytext12-black"/>
        </w:rPr>
        <w:t xml:space="preserve"> </w:t>
      </w:r>
      <w:r w:rsidRPr="00E660AD">
        <w:rPr>
          <w:rStyle w:val="bodytext12-black"/>
        </w:rPr>
        <w:t xml:space="preserve">The GS is designed to failover from WCDAS to the CBU and transition to operational status within five </w:t>
      </w:r>
      <w:r w:rsidRPr="00D9545F">
        <w:rPr>
          <w:rStyle w:val="bodytext12-black"/>
        </w:rPr>
        <w:t>min</w:t>
      </w:r>
      <w:r>
        <w:rPr>
          <w:rStyle w:val="bodytext12-black"/>
        </w:rPr>
        <w:t>utes</w:t>
      </w:r>
      <w:r w:rsidRPr="00E660AD">
        <w:rPr>
          <w:rStyle w:val="bodytext12-black"/>
        </w:rPr>
        <w:t xml:space="preserve"> when directed by the ground operators.</w:t>
      </w:r>
    </w:p>
    <w:p w:rsidR="00BD76A5" w:rsidRDefault="00E20A8A" w:rsidP="00BD76A5">
      <w:pPr>
        <w:keepNext/>
        <w:ind w:firstLine="284"/>
        <w:jc w:val="center"/>
      </w:pPr>
      <w:r>
        <w:rPr>
          <w:noProof/>
          <w:lang w:val="en-US" w:eastAsia="en-US"/>
        </w:rPr>
        <w:drawing>
          <wp:inline distT="0" distB="0" distL="0" distR="0">
            <wp:extent cx="4564380" cy="2903220"/>
            <wp:effectExtent l="19050" t="0" r="762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t="13037"/>
                    <a:stretch>
                      <a:fillRect/>
                    </a:stretch>
                  </pic:blipFill>
                  <pic:spPr bwMode="auto">
                    <a:xfrm>
                      <a:off x="0" y="0"/>
                      <a:ext cx="4564380" cy="2903220"/>
                    </a:xfrm>
                    <a:prstGeom prst="rect">
                      <a:avLst/>
                    </a:prstGeom>
                    <a:noFill/>
                    <a:ln w="9525">
                      <a:noFill/>
                      <a:miter lim="800000"/>
                      <a:headEnd/>
                      <a:tailEnd/>
                    </a:ln>
                  </pic:spPr>
                </pic:pic>
              </a:graphicData>
            </a:graphic>
          </wp:inline>
        </w:drawing>
      </w:r>
    </w:p>
    <w:p w:rsidR="00BD76A5" w:rsidRDefault="00BD76A5" w:rsidP="00BD76A5">
      <w:pPr>
        <w:pStyle w:val="Caption"/>
        <w:spacing w:before="120" w:after="240"/>
        <w:jc w:val="center"/>
      </w:pPr>
      <w:bookmarkStart w:id="17" w:name="_Toc460923862"/>
      <w:r>
        <w:t xml:space="preserve">Figure </w:t>
      </w:r>
      <w:r w:rsidR="00E27A82">
        <w:fldChar w:fldCharType="begin"/>
      </w:r>
      <w:r w:rsidR="002D15AB">
        <w:instrText xml:space="preserve"> SEQ Figure \* ARABIC </w:instrText>
      </w:r>
      <w:r w:rsidR="00E27A82">
        <w:fldChar w:fldCharType="separate"/>
      </w:r>
      <w:r w:rsidR="00ED66C2">
        <w:rPr>
          <w:noProof/>
        </w:rPr>
        <w:t>5</w:t>
      </w:r>
      <w:r w:rsidR="00E27A82">
        <w:fldChar w:fldCharType="end"/>
      </w:r>
      <w:r w:rsidR="00910C60">
        <w:t>:</w:t>
      </w:r>
      <w:r w:rsidRPr="00BD76A5">
        <w:t xml:space="preserve"> </w:t>
      </w:r>
      <w:r>
        <w:t>GOES-R series system architecture</w:t>
      </w:r>
      <w:r w:rsidR="00910C60">
        <w:t>.</w:t>
      </w:r>
      <w:bookmarkEnd w:id="17"/>
    </w:p>
    <w:p w:rsidR="00916F8C" w:rsidRDefault="00916F8C" w:rsidP="00BD76A5">
      <w:pPr>
        <w:rPr>
          <w:rStyle w:val="bodytext12-black"/>
        </w:rPr>
      </w:pPr>
      <w:r>
        <w:rPr>
          <w:rStyle w:val="bodytext12-black"/>
        </w:rPr>
        <w:t>E</w:t>
      </w:r>
      <w:r w:rsidRPr="00E660AD">
        <w:rPr>
          <w:rStyle w:val="bodytext12-black"/>
        </w:rPr>
        <w:t>ither WCDAS (primary) or CBU (redundant backup)</w:t>
      </w:r>
      <w:r>
        <w:rPr>
          <w:rStyle w:val="bodytext12-black"/>
        </w:rPr>
        <w:t xml:space="preserve"> can broadcast GRB data</w:t>
      </w:r>
      <w:r w:rsidRPr="00E660AD">
        <w:rPr>
          <w:rStyle w:val="bodytext12-black"/>
        </w:rPr>
        <w:t>. Users with a direct broadcast readout receiver antenna can receive this data in real time.</w:t>
      </w:r>
      <w:r>
        <w:rPr>
          <w:rStyle w:val="bodytext12-black"/>
        </w:rPr>
        <w:t xml:space="preserve"> </w:t>
      </w:r>
      <w:r w:rsidRPr="00E660AD">
        <w:rPr>
          <w:rStyle w:val="bodytext12-black"/>
        </w:rPr>
        <w:t>The GRB data rate is 31 Mbps in the L-band</w:t>
      </w:r>
      <w:r>
        <w:rPr>
          <w:rStyle w:val="bodytext12-black"/>
        </w:rPr>
        <w:t xml:space="preserve"> and is in Digital Video Broadcast Services-2 (DVBS-2) format (</w:t>
      </w:r>
      <w:hyperlink r:id="rId24" w:history="1">
        <w:r w:rsidRPr="00C27E9F">
          <w:rPr>
            <w:rStyle w:val="Hyperlink"/>
          </w:rPr>
          <w:t>http://www.goes-r.gov/users/grb.html</w:t>
        </w:r>
      </w:hyperlink>
      <w:r>
        <w:rPr>
          <w:rStyle w:val="bodytext12-black"/>
        </w:rPr>
        <w:t>). Legacy GOES Low Rate Information Transmission (LRIT)/</w:t>
      </w:r>
      <w:r w:rsidRPr="009C07CE">
        <w:rPr>
          <w:rFonts w:eastAsia="+mn-ea" w:cs="+mn-cs"/>
          <w:b/>
          <w:bCs/>
          <w:kern w:val="24"/>
          <w:sz w:val="36"/>
          <w:szCs w:val="36"/>
        </w:rPr>
        <w:t xml:space="preserve"> </w:t>
      </w:r>
      <w:r w:rsidRPr="009C07CE">
        <w:rPr>
          <w:rStyle w:val="bodytext12-black"/>
          <w:rFonts w:eastAsia="+mn-ea"/>
        </w:rPr>
        <w:t xml:space="preserve">Emergency Managers Weather Information Network </w:t>
      </w:r>
      <w:r>
        <w:rPr>
          <w:rStyle w:val="bodytext12-black"/>
        </w:rPr>
        <w:t>(EMWIN) data transmission which includes a collection of reduced resolution imagery products will be enhanced for GOES-R and the data rate will increase from 128 Kbps to 400 Kbps (</w:t>
      </w:r>
      <w:hyperlink r:id="rId25" w:history="1">
        <w:r w:rsidRPr="00C27E9F">
          <w:rPr>
            <w:rStyle w:val="Hyperlink"/>
          </w:rPr>
          <w:t>http://www.goes-r.gov/users/hrit.html</w:t>
        </w:r>
      </w:hyperlink>
      <w:r>
        <w:rPr>
          <w:rStyle w:val="bodytext12-black"/>
        </w:rPr>
        <w:t xml:space="preserve">).  </w:t>
      </w:r>
    </w:p>
    <w:p w:rsidR="00916F8C" w:rsidRDefault="00916F8C" w:rsidP="00916F8C">
      <w:pPr>
        <w:ind w:firstLine="284"/>
        <w:rPr>
          <w:szCs w:val="24"/>
        </w:rPr>
      </w:pPr>
      <w:r w:rsidRPr="00E660AD">
        <w:rPr>
          <w:rStyle w:val="bodytext12-black"/>
        </w:rPr>
        <w:t>The third operational GS site</w:t>
      </w:r>
      <w:r w:rsidRPr="00E660AD" w:rsidDel="005A7A5F">
        <w:rPr>
          <w:szCs w:val="24"/>
        </w:rPr>
        <w:t xml:space="preserve"> </w:t>
      </w:r>
      <w:r w:rsidRPr="00E660AD">
        <w:rPr>
          <w:szCs w:val="24"/>
        </w:rPr>
        <w:t>is the NOAA Satellite Operations Facility (NSOF) in Suitland, Maryland.</w:t>
      </w:r>
      <w:r>
        <w:rPr>
          <w:szCs w:val="24"/>
        </w:rPr>
        <w:t xml:space="preserve"> </w:t>
      </w:r>
      <w:r w:rsidRPr="00E660AD">
        <w:rPr>
          <w:szCs w:val="24"/>
        </w:rPr>
        <w:t xml:space="preserve">The GRB data is received at NSOF by the GS. The ABI L1b data is then extracted from the GRB stream and processed into </w:t>
      </w:r>
      <w:r>
        <w:rPr>
          <w:szCs w:val="24"/>
        </w:rPr>
        <w:t xml:space="preserve">25 </w:t>
      </w:r>
      <w:r w:rsidRPr="00E660AD">
        <w:rPr>
          <w:szCs w:val="24"/>
        </w:rPr>
        <w:t xml:space="preserve">higher-level products (Level 2+), </w:t>
      </w:r>
      <w:r>
        <w:rPr>
          <w:szCs w:val="24"/>
        </w:rPr>
        <w:t>which includes ocean, land and atmospheric products such as land surface temperature, cloud properties and sea surface temperature.</w:t>
      </w:r>
      <w:r w:rsidRPr="00E660AD">
        <w:rPr>
          <w:szCs w:val="24"/>
        </w:rPr>
        <w:t xml:space="preserve"> All L1b and L2+ products are distributed to external users from NSOF</w:t>
      </w:r>
      <w:r>
        <w:rPr>
          <w:szCs w:val="24"/>
        </w:rPr>
        <w:t xml:space="preserve"> through the internet</w:t>
      </w:r>
      <w:r w:rsidRPr="00E660AD">
        <w:rPr>
          <w:szCs w:val="24"/>
        </w:rPr>
        <w:t>.</w:t>
      </w:r>
      <w:r>
        <w:rPr>
          <w:szCs w:val="24"/>
        </w:rPr>
        <w:t xml:space="preserve"> </w:t>
      </w:r>
      <w:r w:rsidRPr="00E660AD">
        <w:rPr>
          <w:szCs w:val="24"/>
        </w:rPr>
        <w:t>All satellite operations at the three sites can be run from NSOF.</w:t>
      </w:r>
    </w:p>
    <w:p w:rsidR="00916F8C" w:rsidRPr="00E660AD" w:rsidRDefault="00916F8C" w:rsidP="00916F8C">
      <w:pPr>
        <w:ind w:firstLine="284"/>
        <w:rPr>
          <w:szCs w:val="24"/>
        </w:rPr>
      </w:pPr>
      <w:r>
        <w:rPr>
          <w:szCs w:val="24"/>
        </w:rPr>
        <w:t xml:space="preserve">In addition to GRB and terrestrial distribution of GOES-R data, there are also plans to distribute a subset of the data (to be determined) through </w:t>
      </w:r>
      <w:r>
        <w:t>GEONETCast Americas, which is the Western Hemisphere component of GEONETCast, a near real time, global network of satellite-based data dissemination systems designed to distribute space-based, air-borne and in situ data, metadata and products to diverse communities (</w:t>
      </w:r>
      <w:hyperlink r:id="rId26" w:history="1">
        <w:r w:rsidRPr="00554764">
          <w:rPr>
            <w:rStyle w:val="Hyperlink"/>
          </w:rPr>
          <w:t>http://www.geonetcastamericas.noaa.gov/</w:t>
        </w:r>
      </w:hyperlink>
      <w:r>
        <w:t>). GEONETCast is a low cost satellite data service that allows users across the hemisphere to receive near real-time imagery and other products for operational meteorology and other applications.</w:t>
      </w:r>
    </w:p>
    <w:p w:rsidR="00916F8C" w:rsidRDefault="00916F8C" w:rsidP="00C32105">
      <w:pPr>
        <w:pStyle w:val="Heading3"/>
      </w:pPr>
      <w:r>
        <w:t>GEOKOMPSAT 2A Concept of Operations</w:t>
      </w:r>
    </w:p>
    <w:p w:rsidR="00916F8C" w:rsidRDefault="00916F8C" w:rsidP="00403CDD">
      <w:pPr>
        <w:spacing w:after="0"/>
      </w:pPr>
      <w:r>
        <w:t xml:space="preserve">GEOKOPMSAT 2A scheduled to launch in 2018, will operate from </w:t>
      </w:r>
      <w:r w:rsidRPr="00AC0165">
        <w:rPr>
          <w:lang w:val="en-GB"/>
        </w:rPr>
        <w:t>128.2°E</w:t>
      </w:r>
      <w:r w:rsidRPr="00AC0165">
        <w:t xml:space="preserve"> </w:t>
      </w:r>
      <w:r>
        <w:t>location and is expected to have a 10 year operational life.  AMI will collect full disk data every 10 minutes and will also have the capability to schedule more rapid data collection over regional areas (TBD).  The satellite data will have redundant ground processing at two receiving stations operated by the National Meteorological Satellite Center (NMSC).  In addition to processing raw AMI data to Level 1b (calibrated and navigated radiances), 52 higher Level 2 meteorological products are also created for scene &amp; surface analysis, cloud &amp; precipitation, aerosol &amp; radiation, and atmospheric condition &amp; aviation.  Data distribution of AHI radiances will be both by satellite rebroadcast as well as terrestrial web based services (</w:t>
      </w:r>
      <w:r w:rsidRPr="00AC0165">
        <w:rPr>
          <w:lang w:val="en-GB"/>
        </w:rPr>
        <w:t>http://dcpc.nmsc.kma.go.kr</w:t>
      </w:r>
      <w:r>
        <w:rPr>
          <w:lang w:val="en-GB"/>
        </w:rPr>
        <w:t>)</w:t>
      </w:r>
      <w:r>
        <w:t>.  Table 2 shows that data services plan for GEOKOMPSAT 2A:</w:t>
      </w:r>
    </w:p>
    <w:p w:rsidR="00C53C9A" w:rsidRDefault="00C53C9A" w:rsidP="00C53C9A">
      <w:pPr>
        <w:pStyle w:val="Caption"/>
        <w:jc w:val="center"/>
      </w:pPr>
      <w:bookmarkStart w:id="18" w:name="_Toc460923899"/>
      <w:r>
        <w:t xml:space="preserve">Table </w:t>
      </w:r>
      <w:fldSimple w:instr=" SEQ Table \* ARABIC ">
        <w:r w:rsidR="00ED66C2">
          <w:rPr>
            <w:noProof/>
          </w:rPr>
          <w:t>2</w:t>
        </w:r>
      </w:fldSimple>
      <w:r w:rsidR="002A2607">
        <w:t>:</w:t>
      </w:r>
      <w:r>
        <w:t xml:space="preserve"> Data Services Plan for GEOKOMPAT 2A</w:t>
      </w:r>
      <w:r w:rsidR="002A2607">
        <w:t>.</w:t>
      </w:r>
      <w:bookmarkEnd w:id="18"/>
    </w:p>
    <w:p w:rsidR="002E37EE" w:rsidRPr="002E37EE" w:rsidRDefault="00E20A8A" w:rsidP="002E37EE">
      <w:pPr>
        <w:jc w:val="center"/>
      </w:pPr>
      <w:r>
        <w:rPr>
          <w:noProof/>
          <w:lang w:val="en-US" w:eastAsia="en-US"/>
        </w:rPr>
        <w:drawing>
          <wp:inline distT="0" distB="0" distL="0" distR="0">
            <wp:extent cx="5173923" cy="1809378"/>
            <wp:effectExtent l="19050" t="0" r="7677"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srcRect/>
                    <a:stretch>
                      <a:fillRect/>
                    </a:stretch>
                  </pic:blipFill>
                  <pic:spPr bwMode="auto">
                    <a:xfrm>
                      <a:off x="0" y="0"/>
                      <a:ext cx="5178394" cy="1810941"/>
                    </a:xfrm>
                    <a:prstGeom prst="rect">
                      <a:avLst/>
                    </a:prstGeom>
                    <a:noFill/>
                    <a:ln w="9525">
                      <a:noFill/>
                      <a:miter lim="800000"/>
                      <a:headEnd/>
                      <a:tailEnd/>
                    </a:ln>
                  </pic:spPr>
                </pic:pic>
              </a:graphicData>
            </a:graphic>
          </wp:inline>
        </w:drawing>
      </w:r>
    </w:p>
    <w:p w:rsidR="00916F8C" w:rsidRPr="001953A5" w:rsidRDefault="00916F8C" w:rsidP="001953A5">
      <w:pPr>
        <w:spacing w:before="120"/>
        <w:rPr>
          <w:b/>
          <w:sz w:val="18"/>
          <w:szCs w:val="18"/>
        </w:rPr>
      </w:pPr>
      <w:r w:rsidRPr="001953A5">
        <w:rPr>
          <w:rStyle w:val="Strong"/>
          <w:b w:val="0"/>
          <w:sz w:val="18"/>
          <w:szCs w:val="18"/>
          <w:vertAlign w:val="superscript"/>
        </w:rPr>
        <w:t>1</w:t>
      </w:r>
      <w:r w:rsidRPr="001953A5">
        <w:rPr>
          <w:rStyle w:val="Strong"/>
          <w:b w:val="0"/>
          <w:sz w:val="18"/>
          <w:szCs w:val="18"/>
        </w:rPr>
        <w:t xml:space="preserve">HRIT (High Rate Information Transmission); </w:t>
      </w:r>
      <w:r w:rsidRPr="001953A5">
        <w:rPr>
          <w:rStyle w:val="Strong"/>
          <w:b w:val="0"/>
          <w:sz w:val="18"/>
          <w:szCs w:val="18"/>
          <w:vertAlign w:val="superscript"/>
        </w:rPr>
        <w:t>2</w:t>
      </w:r>
      <w:r w:rsidRPr="001953A5">
        <w:rPr>
          <w:rStyle w:val="Strong"/>
          <w:b w:val="0"/>
          <w:sz w:val="18"/>
          <w:szCs w:val="18"/>
        </w:rPr>
        <w:t xml:space="preserve">LRIT (Low Rate Information Transmission); </w:t>
      </w:r>
      <w:r w:rsidRPr="001953A5">
        <w:rPr>
          <w:rStyle w:val="Strong"/>
          <w:b w:val="0"/>
          <w:sz w:val="18"/>
          <w:szCs w:val="18"/>
          <w:vertAlign w:val="superscript"/>
        </w:rPr>
        <w:t>3</w:t>
      </w:r>
      <w:r w:rsidRPr="001953A5">
        <w:rPr>
          <w:rStyle w:val="Strong"/>
          <w:b w:val="0"/>
          <w:sz w:val="18"/>
          <w:szCs w:val="18"/>
        </w:rPr>
        <w:t>MDUS/SDUS (medium/small-scale data utilization stations).</w:t>
      </w:r>
    </w:p>
    <w:p w:rsidR="001953A5" w:rsidRDefault="001953A5" w:rsidP="00C32105">
      <w:pPr>
        <w:pStyle w:val="Heading3"/>
      </w:pPr>
      <w:r>
        <w:t>MTG Concept of Operations</w:t>
      </w:r>
    </w:p>
    <w:p w:rsidR="001953A5" w:rsidRDefault="001953A5" w:rsidP="001953A5">
      <w:r>
        <w:t>The MTG mission is a two satellite system where MTG-I will host two imaging payloads: the Flexible Combined Imager (FCI) and the Lightning Imager (LI); and MTG-S (sounder) will host the Infrared Sounder (IRS), and the Global Monitoring for Environment and Security (GMES) Sentinel-4 Ultraviolet Visibile-NIR spectrometer (UVN).  Four MTG-I and two MTG-S satellites will be launched starting in 2020 and are expected to provide continuous 20 years of on orbit service for the imagers and 15.5 years for the sounders.  When the system is fully deployed, there will be two imaging satellites and a sounding satellite operating in parallel.</w:t>
      </w:r>
    </w:p>
    <w:p w:rsidR="001953A5" w:rsidRDefault="001953A5" w:rsidP="006945BD">
      <w:pPr>
        <w:spacing w:after="240"/>
      </w:pPr>
      <w:r>
        <w:t xml:space="preserve">THE FCI can scan the full disk every 10 minutes </w:t>
      </w:r>
      <w:r w:rsidRPr="006024D3">
        <w:t>and a European Regional-Rapid-Scan (RRS) which covers one-quarter of the full disk with a repeat cycle of 2.5 minutes</w:t>
      </w:r>
      <w:r w:rsidR="00137114">
        <w:t xml:space="preserve"> (Figure 6)</w:t>
      </w:r>
      <w:r w:rsidRPr="006024D3">
        <w:t>.</w:t>
      </w:r>
      <w:r>
        <w:t xml:space="preserve">  </w:t>
      </w:r>
    </w:p>
    <w:p w:rsidR="00BD76A5" w:rsidRDefault="00315F48" w:rsidP="00BD76A5">
      <w:pPr>
        <w:keepNext/>
        <w:jc w:val="center"/>
      </w:pPr>
      <w:r w:rsidRPr="00315F48">
        <w:rPr>
          <w:noProof/>
          <w:lang w:val="en-US" w:eastAsia="en-US"/>
        </w:rPr>
        <w:drawing>
          <wp:inline distT="0" distB="0" distL="0" distR="0">
            <wp:extent cx="4037434" cy="3057099"/>
            <wp:effectExtent l="19050" t="0" r="1166" b="0"/>
            <wp:docPr id="47" name="Picture 9" descr="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28" cstate="print"/>
                    <a:srcRect t="3172" b="2153"/>
                    <a:stretch>
                      <a:fillRect/>
                    </a:stretch>
                  </pic:blipFill>
                  <pic:spPr>
                    <a:xfrm>
                      <a:off x="0" y="0"/>
                      <a:ext cx="4039583" cy="3058726"/>
                    </a:xfrm>
                    <a:prstGeom prst="rect">
                      <a:avLst/>
                    </a:prstGeom>
                  </pic:spPr>
                </pic:pic>
              </a:graphicData>
            </a:graphic>
          </wp:inline>
        </w:drawing>
      </w:r>
    </w:p>
    <w:p w:rsidR="001953A5" w:rsidRDefault="00BD76A5" w:rsidP="00403CDD">
      <w:pPr>
        <w:pStyle w:val="Caption"/>
        <w:spacing w:before="0"/>
        <w:jc w:val="center"/>
      </w:pPr>
      <w:bookmarkStart w:id="19" w:name="_Toc460923863"/>
      <w:r>
        <w:t xml:space="preserve">Figure </w:t>
      </w:r>
      <w:r w:rsidR="00E27A82">
        <w:fldChar w:fldCharType="begin"/>
      </w:r>
      <w:r w:rsidR="002D15AB">
        <w:instrText xml:space="preserve"> SEQ Figure \* ARABIC </w:instrText>
      </w:r>
      <w:r w:rsidR="00E27A82">
        <w:fldChar w:fldCharType="separate"/>
      </w:r>
      <w:r w:rsidR="00ED66C2">
        <w:rPr>
          <w:noProof/>
        </w:rPr>
        <w:t>6</w:t>
      </w:r>
      <w:r w:rsidR="00E27A82">
        <w:fldChar w:fldCharType="end"/>
      </w:r>
      <w:r w:rsidR="00910C60">
        <w:t>:</w:t>
      </w:r>
      <w:r w:rsidRPr="00BD76A5">
        <w:t xml:space="preserve"> </w:t>
      </w:r>
      <w:r w:rsidRPr="001953A5">
        <w:t>FCI scene types</w:t>
      </w:r>
      <w:r w:rsidR="00910C60">
        <w:t>.</w:t>
      </w:r>
      <w:bookmarkEnd w:id="19"/>
    </w:p>
    <w:p w:rsidR="00403CDD" w:rsidRPr="00403CDD" w:rsidRDefault="00403CDD" w:rsidP="00403CDD"/>
    <w:p w:rsidR="00315F48" w:rsidRDefault="00315F48" w:rsidP="00403CDD">
      <w:pPr>
        <w:spacing w:after="240"/>
      </w:pPr>
      <w:r>
        <w:t xml:space="preserve">Mission data is acquired in the Ka-band frequency at two sites located in Lario, Italy and Leuk, Switzerland.  Two sites are necessary for redundancy as well as to cope with occasional signal attenuation in the Ka band due to severe storms.  The data is decrypted and sent to the Mission Processing Facility at the EUMETSAT headquarters in Darmstadt, Germany for further processing and distribution of Level 1b, Level 1c and Level 2 products via terrestrial communication networks (Figure 7). Users can either access the data via the internet or receive direct broadcast of EUMETCast data in DVBS-2 similar to legacy Meteosat services. </w:t>
      </w:r>
    </w:p>
    <w:p w:rsidR="00BD76A5" w:rsidRDefault="00315F48" w:rsidP="00BD76A5">
      <w:pPr>
        <w:keepNext/>
        <w:spacing w:after="200"/>
      </w:pPr>
      <w:r w:rsidRPr="00315F48">
        <w:rPr>
          <w:noProof/>
          <w:lang w:val="en-US" w:eastAsia="en-US"/>
        </w:rPr>
        <w:drawing>
          <wp:inline distT="0" distB="0" distL="0" distR="0">
            <wp:extent cx="5943600" cy="4297680"/>
            <wp:effectExtent l="19050" t="0" r="0" b="0"/>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5943600" cy="4297680"/>
                    </a:xfrm>
                    <a:prstGeom prst="rect">
                      <a:avLst/>
                    </a:prstGeom>
                    <a:noFill/>
                    <a:ln w="9525">
                      <a:noFill/>
                      <a:miter lim="800000"/>
                      <a:headEnd/>
                      <a:tailEnd/>
                    </a:ln>
                  </pic:spPr>
                </pic:pic>
              </a:graphicData>
            </a:graphic>
          </wp:inline>
        </w:drawing>
      </w:r>
    </w:p>
    <w:p w:rsidR="00137114" w:rsidRDefault="00BD76A5" w:rsidP="00BD76A5">
      <w:pPr>
        <w:pStyle w:val="Caption"/>
        <w:jc w:val="center"/>
      </w:pPr>
      <w:bookmarkStart w:id="20" w:name="_Toc460923864"/>
      <w:r>
        <w:t xml:space="preserve">Figure </w:t>
      </w:r>
      <w:r w:rsidR="00E27A82">
        <w:fldChar w:fldCharType="begin"/>
      </w:r>
      <w:r w:rsidR="002D15AB">
        <w:instrText xml:space="preserve"> SEQ Figure \* ARABIC </w:instrText>
      </w:r>
      <w:r w:rsidR="00E27A82">
        <w:fldChar w:fldCharType="separate"/>
      </w:r>
      <w:r w:rsidR="00ED66C2">
        <w:rPr>
          <w:noProof/>
        </w:rPr>
        <w:t>7</w:t>
      </w:r>
      <w:r w:rsidR="00E27A82">
        <w:fldChar w:fldCharType="end"/>
      </w:r>
      <w:r w:rsidR="00910C60">
        <w:t>:</w:t>
      </w:r>
      <w:r w:rsidRPr="00BD76A5">
        <w:t xml:space="preserve"> </w:t>
      </w:r>
      <w:r>
        <w:t>MTG ground system (Legendre, et al. 2010).</w:t>
      </w:r>
      <w:bookmarkEnd w:id="20"/>
    </w:p>
    <w:p w:rsidR="00315F48" w:rsidRDefault="00315F48" w:rsidP="00315F48">
      <w:pPr>
        <w:pStyle w:val="Heading3"/>
      </w:pPr>
      <w:r>
        <w:tab/>
        <w:t>Feng Yun-4</w:t>
      </w:r>
    </w:p>
    <w:p w:rsidR="00315F48" w:rsidRDefault="00315F48" w:rsidP="00315F48">
      <w:r w:rsidRPr="008E232E">
        <w:t>The first FY-4 series of satellites, FY-4A is expected to be launched by China by the end of 2016.  FY-4A will be a system test and demonstration satellite, and will be followed by FY-4B, FY-4C and FY-4D operational satellites.  There will be three earth observing sensors which include the Advanced Geostationary Radiation Imager (AGRI), Geostationary Interferometric Infrared Sounder (GIIRS) and a Lightning Mapping Imager (LMI) (CGMS44-CMA-WP-01).  AGRI will observe Earth’s full disk in 14 channels within 0.55-13.8 µm every fifteen minutes.  AGRI will collect images at 0.5km spatial resolution in one channel, 1 km spatial resolution in two channels, 2 km spatial resolution in four channels, and 4 km spatial resolution in seven channels.  FY-4</w:t>
      </w:r>
      <w:r>
        <w:t>a</w:t>
      </w:r>
      <w:r w:rsidRPr="008E232E">
        <w:t xml:space="preserve"> </w:t>
      </w:r>
      <w:r>
        <w:t xml:space="preserve">is </w:t>
      </w:r>
      <w:r w:rsidRPr="008E232E">
        <w:t xml:space="preserve">expected to have a design life of </w:t>
      </w:r>
      <w:r>
        <w:t xml:space="preserve">five years while the following operational </w:t>
      </w:r>
      <w:r w:rsidRPr="008E232E">
        <w:t xml:space="preserve">satellites are expected to </w:t>
      </w:r>
      <w:r>
        <w:t xml:space="preserve">last for </w:t>
      </w:r>
      <w:r w:rsidRPr="008E232E">
        <w:t xml:space="preserve">seven years.  Two satellites will be operated at </w:t>
      </w:r>
      <w:r w:rsidRPr="008E232E">
        <w:rPr>
          <w:color w:val="auto"/>
        </w:rPr>
        <w:t>86.5°E and 105°E</w:t>
      </w:r>
      <w:r w:rsidRPr="008E232E">
        <w:t xml:space="preserve"> longitudes, similar to the current operational FY-2 series</w:t>
      </w:r>
      <w:r w:rsidRPr="008E232E">
        <w:rPr>
          <w:color w:val="auto"/>
        </w:rPr>
        <w:t>.</w:t>
      </w:r>
      <w:r w:rsidRPr="008E232E">
        <w:t xml:space="preserve">  Near-real time direct broadcast of full resolution data Level 1b data will be available through a dual polarized </w:t>
      </w:r>
      <w:r w:rsidRPr="008E232E">
        <w:rPr>
          <w:rFonts w:eastAsiaTheme="minorHAnsi"/>
          <w:color w:val="auto"/>
        </w:rPr>
        <w:t>HRIT (High Rate Information Transmission)</w:t>
      </w:r>
      <w:r w:rsidRPr="008E232E">
        <w:t xml:space="preserve">.  </w:t>
      </w:r>
      <w:r w:rsidRPr="008E232E">
        <w:rPr>
          <w:rFonts w:eastAsiaTheme="minorHAnsi"/>
          <w:color w:val="auto"/>
        </w:rPr>
        <w:t>Lo</w:t>
      </w:r>
      <w:r w:rsidRPr="008E232E">
        <w:t>w Rate Information Transmission (LRIT)</w:t>
      </w:r>
      <w:r w:rsidRPr="008E232E">
        <w:rPr>
          <w:rFonts w:eastAsiaTheme="minorHAnsi"/>
          <w:color w:val="auto"/>
        </w:rPr>
        <w:t xml:space="preserve"> broadcasting of image frames and other data</w:t>
      </w:r>
      <w:r w:rsidRPr="008E232E">
        <w:t xml:space="preserve"> will also be available</w:t>
      </w:r>
      <w:r w:rsidRPr="008E232E">
        <w:rPr>
          <w:rFonts w:eastAsiaTheme="minorHAnsi"/>
          <w:color w:val="auto"/>
        </w:rPr>
        <w:t>.</w:t>
      </w:r>
      <w:r w:rsidRPr="008E232E">
        <w:t xml:space="preserve">  Higher level data products from FY-4 will also be broadcast through CMACast</w:t>
      </w:r>
      <w:r w:rsidR="002A2607">
        <w:t xml:space="preserve"> (CMA URL, 2016)</w:t>
      </w:r>
      <w:r w:rsidRPr="008E232E">
        <w:t>, which is a component of the GEONETCast, a global net work of satellite based data dissemination system that uses commercial communication satellites that provides environmental data to a world-wide community</w:t>
      </w:r>
    </w:p>
    <w:p w:rsidR="00377944" w:rsidRDefault="00377944" w:rsidP="001953A5">
      <w:pPr>
        <w:pStyle w:val="Heading2"/>
      </w:pPr>
      <w:bookmarkStart w:id="21" w:name="_Toc460923835"/>
      <w:r>
        <w:t>Geostationary Satellite Missions with Unique Capabilities</w:t>
      </w:r>
      <w:bookmarkEnd w:id="21"/>
    </w:p>
    <w:p w:rsidR="00377944" w:rsidRPr="00377944" w:rsidRDefault="00377944" w:rsidP="00377944">
      <w:r>
        <w:t xml:space="preserve">The geostationary missions described earlier in this chapter (e.g. GOES-R, Himwari, MTG etc.) are all new missions that provide continuity of legacy systems that have been providing vital remote sensing measurements for operational meteorology for over twenty years.  As the existing fleet of operational meteorological satellites reach their end of life, they will be replaced by the new systems to provide uninterrupted coverage.  In addition to the new operational meteorological satellites, there are also several new planned missions that have unique capabilities designed to study and monitor specific processes such as atmospheric chemistry and oceanography.  This section will briefly review some of these unique missions.   </w:t>
      </w:r>
    </w:p>
    <w:p w:rsidR="001953A5" w:rsidRPr="00C15359" w:rsidRDefault="00077EFF" w:rsidP="00377944">
      <w:pPr>
        <w:pStyle w:val="Heading3"/>
      </w:pPr>
      <w:r>
        <w:t>A Constellation for Observing Global Air Quality</w:t>
      </w:r>
    </w:p>
    <w:p w:rsidR="00377944" w:rsidRDefault="00377944" w:rsidP="00377944">
      <w:pPr>
        <w:spacing w:after="240"/>
        <w:rPr>
          <w:bCs/>
          <w:szCs w:val="24"/>
        </w:rPr>
      </w:pPr>
      <w:r w:rsidRPr="00AD4149">
        <w:rPr>
          <w:szCs w:val="24"/>
        </w:rPr>
        <w:t>The Committee on Earth Observation Satellites (CEOS)</w:t>
      </w:r>
      <w:r>
        <w:t xml:space="preserve"> </w:t>
      </w:r>
      <w:r>
        <w:rPr>
          <w:spacing w:val="-1"/>
        </w:rPr>
        <w:t xml:space="preserve">encourages, through its Virtual Constellations (VCs) as thematic or topic driven working bodies, the </w:t>
      </w:r>
      <w:r>
        <w:t>coordination of space-based, ground-based, and/or data delivery systems to meet a common set of requirements within a specific domain.</w:t>
      </w:r>
      <w:r>
        <w:rPr>
          <w:spacing w:val="-1"/>
        </w:rPr>
        <w:t xml:space="preserve"> </w:t>
      </w:r>
      <w:r>
        <w:rPr>
          <w:spacing w:val="-4"/>
        </w:rPr>
        <w:t xml:space="preserve">The CEOS </w:t>
      </w:r>
      <w:r w:rsidRPr="009E4348">
        <w:rPr>
          <w:szCs w:val="24"/>
        </w:rPr>
        <w:t xml:space="preserve">Atmospheric Composition </w:t>
      </w:r>
      <w:r>
        <w:rPr>
          <w:szCs w:val="24"/>
        </w:rPr>
        <w:t xml:space="preserve">Virtual </w:t>
      </w:r>
      <w:r w:rsidRPr="009E4348">
        <w:rPr>
          <w:szCs w:val="24"/>
        </w:rPr>
        <w:t>Constellation</w:t>
      </w:r>
      <w:r>
        <w:t xml:space="preserve"> </w:t>
      </w:r>
      <w:r w:rsidRPr="00AD4149">
        <w:rPr>
          <w:szCs w:val="24"/>
        </w:rPr>
        <w:t>(</w:t>
      </w:r>
      <w:r>
        <w:rPr>
          <w:szCs w:val="24"/>
        </w:rPr>
        <w:t>AC-VC</w:t>
      </w:r>
      <w:r>
        <w:t xml:space="preserve">) </w:t>
      </w:r>
      <w:r w:rsidRPr="00AD4149">
        <w:rPr>
          <w:szCs w:val="24"/>
        </w:rPr>
        <w:t>focuses on observation</w:t>
      </w:r>
      <w:r>
        <w:rPr>
          <w:szCs w:val="24"/>
        </w:rPr>
        <w:t xml:space="preserve">s needed to improve monitoring and </w:t>
      </w:r>
      <w:r w:rsidRPr="00AD4149">
        <w:rPr>
          <w:szCs w:val="24"/>
        </w:rPr>
        <w:t xml:space="preserve">assessment </w:t>
      </w:r>
      <w:r>
        <w:rPr>
          <w:szCs w:val="24"/>
        </w:rPr>
        <w:t xml:space="preserve">of </w:t>
      </w:r>
      <w:r w:rsidRPr="00AD4149">
        <w:rPr>
          <w:szCs w:val="24"/>
        </w:rPr>
        <w:t>changes in the ozone layer, air qualit</w:t>
      </w:r>
      <w:r>
        <w:rPr>
          <w:szCs w:val="24"/>
        </w:rPr>
        <w:t>y and climate forcing</w:t>
      </w:r>
      <w:r w:rsidRPr="00AD4149">
        <w:rPr>
          <w:szCs w:val="24"/>
        </w:rPr>
        <w:t>.</w:t>
      </w:r>
      <w:r>
        <w:rPr>
          <w:szCs w:val="24"/>
        </w:rPr>
        <w:t xml:space="preserve"> CEOS AC-VC has defined a vision for </w:t>
      </w:r>
      <w:r w:rsidRPr="00AD4149">
        <w:rPr>
          <w:bCs/>
          <w:szCs w:val="24"/>
        </w:rPr>
        <w:t>a geostationary satellite constellation for observing global air quality</w:t>
      </w:r>
      <w:r>
        <w:rPr>
          <w:rStyle w:val="FootnoteReference"/>
        </w:rPr>
        <w:footnoteReference w:id="2"/>
      </w:r>
      <w:r>
        <w:rPr>
          <w:bCs/>
          <w:szCs w:val="24"/>
        </w:rPr>
        <w:t xml:space="preserve"> that currently includes three ultraviolet (UV) and UV plus visible (UV-Vis) spectrometers in geostationary orbit over Asia, North America, and Europe. While these instruments are separate from the new geostationary meteorological imagers, two of them share platforms with the meteorological imagers, and the constellation serves as an example of a coordination plan for imaging observations from geostationary orbit. The geostationary UV and UV-Vis spectrometers will provide hourly retrievals of ozone (</w:t>
      </w:r>
      <w:r w:rsidRPr="00AB44E7">
        <w:rPr>
          <w:rFonts w:eastAsia="ArialMT"/>
          <w:szCs w:val="24"/>
        </w:rPr>
        <w:t>O</w:t>
      </w:r>
      <w:r w:rsidRPr="00B64743">
        <w:rPr>
          <w:rFonts w:eastAsia="ArialMT"/>
          <w:szCs w:val="24"/>
          <w:vertAlign w:val="subscript"/>
        </w:rPr>
        <w:t>3</w:t>
      </w:r>
      <w:r>
        <w:rPr>
          <w:rFonts w:eastAsia="ArialMT"/>
          <w:szCs w:val="24"/>
        </w:rPr>
        <w:t>), nitrogen dioxide (</w:t>
      </w:r>
      <w:r w:rsidRPr="00AB44E7">
        <w:rPr>
          <w:rFonts w:eastAsia="ArialMT"/>
          <w:szCs w:val="24"/>
        </w:rPr>
        <w:t>NO</w:t>
      </w:r>
      <w:r w:rsidRPr="00B64743">
        <w:rPr>
          <w:rFonts w:eastAsia="ArialMT"/>
          <w:szCs w:val="24"/>
          <w:vertAlign w:val="subscript"/>
        </w:rPr>
        <w:t>2</w:t>
      </w:r>
      <w:r>
        <w:rPr>
          <w:rFonts w:eastAsia="ArialMT"/>
          <w:szCs w:val="24"/>
        </w:rPr>
        <w:t>)</w:t>
      </w:r>
      <w:r w:rsidRPr="00AB44E7">
        <w:rPr>
          <w:rFonts w:eastAsia="ArialMT"/>
          <w:szCs w:val="24"/>
        </w:rPr>
        <w:t xml:space="preserve">, </w:t>
      </w:r>
      <w:r>
        <w:rPr>
          <w:rFonts w:eastAsia="ArialMT"/>
          <w:szCs w:val="24"/>
        </w:rPr>
        <w:t>sulfur dioxide (</w:t>
      </w:r>
      <w:r w:rsidRPr="00AB44E7">
        <w:rPr>
          <w:rFonts w:eastAsia="ArialMT"/>
          <w:szCs w:val="24"/>
        </w:rPr>
        <w:t>SO</w:t>
      </w:r>
      <w:r w:rsidRPr="00B64743">
        <w:rPr>
          <w:rFonts w:eastAsia="ArialMT"/>
          <w:szCs w:val="24"/>
          <w:vertAlign w:val="subscript"/>
        </w:rPr>
        <w:t>2</w:t>
      </w:r>
      <w:r>
        <w:rPr>
          <w:rFonts w:eastAsia="ArialMT"/>
          <w:szCs w:val="24"/>
        </w:rPr>
        <w:t>)</w:t>
      </w:r>
      <w:r w:rsidRPr="00AB44E7">
        <w:rPr>
          <w:rFonts w:eastAsia="ArialMT"/>
          <w:szCs w:val="24"/>
        </w:rPr>
        <w:t>,</w:t>
      </w:r>
      <w:r>
        <w:rPr>
          <w:rFonts w:eastAsia="ArialMT"/>
          <w:szCs w:val="24"/>
        </w:rPr>
        <w:t xml:space="preserve"> and formaldehyde (HCHO) columns as well as aerosol optical depth (AOD) over the major industrialized regions of the northern hemisphere (Figure 8). </w:t>
      </w:r>
      <w:r>
        <w:rPr>
          <w:bCs/>
          <w:szCs w:val="24"/>
        </w:rPr>
        <w:t>These measurements are directly relevant to urban air quality, trans</w:t>
      </w:r>
      <w:r w:rsidR="00A979D9">
        <w:rPr>
          <w:bCs/>
          <w:szCs w:val="24"/>
        </w:rPr>
        <w:t>-</w:t>
      </w:r>
      <w:r>
        <w:rPr>
          <w:bCs/>
          <w:szCs w:val="24"/>
        </w:rPr>
        <w:t>boundary pollution transport, and improved air quality forecasting.</w:t>
      </w:r>
    </w:p>
    <w:p w:rsidR="00377944" w:rsidRDefault="00E20A8A" w:rsidP="00377944">
      <w:pPr>
        <w:pStyle w:val="Caption"/>
        <w:spacing w:before="0"/>
        <w:jc w:val="center"/>
      </w:pPr>
      <w:r>
        <w:rPr>
          <w:noProof/>
          <w:szCs w:val="24"/>
          <w:lang w:val="en-US" w:eastAsia="en-US"/>
        </w:rPr>
        <w:drawing>
          <wp:inline distT="0" distB="0" distL="0" distR="0">
            <wp:extent cx="4129869" cy="2598185"/>
            <wp:effectExtent l="19050" t="0" r="3981" b="0"/>
            <wp:docPr id="7" name="Picture 1" descr="C:\Users\Brad Pierce\Documents\Attachments\jun_01\glob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ad Pierce\Documents\Attachments\jun_01\global.jpg"/>
                    <pic:cNvPicPr>
                      <a:picLocks noChangeAspect="1" noChangeArrowheads="1"/>
                    </pic:cNvPicPr>
                  </pic:nvPicPr>
                  <pic:blipFill>
                    <a:blip r:embed="rId30" cstate="print"/>
                    <a:srcRect/>
                    <a:stretch>
                      <a:fillRect/>
                    </a:stretch>
                  </pic:blipFill>
                  <pic:spPr bwMode="auto">
                    <a:xfrm>
                      <a:off x="0" y="0"/>
                      <a:ext cx="4136429" cy="2602312"/>
                    </a:xfrm>
                    <a:prstGeom prst="rect">
                      <a:avLst/>
                    </a:prstGeom>
                    <a:noFill/>
                    <a:ln w="9525">
                      <a:noFill/>
                      <a:miter lim="800000"/>
                      <a:headEnd/>
                      <a:tailEnd/>
                    </a:ln>
                  </pic:spPr>
                </pic:pic>
              </a:graphicData>
            </a:graphic>
          </wp:inline>
        </w:drawing>
      </w:r>
    </w:p>
    <w:p w:rsidR="00377944" w:rsidRDefault="00377944" w:rsidP="00280800">
      <w:pPr>
        <w:pStyle w:val="Caption"/>
        <w:spacing w:before="0" w:after="0"/>
        <w:jc w:val="center"/>
        <w:rPr>
          <w:bCs w:val="0"/>
          <w:szCs w:val="24"/>
        </w:rPr>
      </w:pPr>
      <w:bookmarkStart w:id="22" w:name="_Toc460923865"/>
      <w:r>
        <w:t xml:space="preserve">Figure </w:t>
      </w:r>
      <w:r w:rsidR="00E27A82">
        <w:fldChar w:fldCharType="begin"/>
      </w:r>
      <w:r w:rsidR="002D15AB">
        <w:instrText xml:space="preserve"> SEQ Figure \* ARABIC </w:instrText>
      </w:r>
      <w:r w:rsidR="00E27A82">
        <w:fldChar w:fldCharType="separate"/>
      </w:r>
      <w:r w:rsidR="00ED66C2">
        <w:rPr>
          <w:noProof/>
        </w:rPr>
        <w:t>8</w:t>
      </w:r>
      <w:r w:rsidR="00E27A82">
        <w:fldChar w:fldCharType="end"/>
      </w:r>
      <w:r w:rsidR="00910C60">
        <w:t>:</w:t>
      </w:r>
      <w:r w:rsidRPr="00BD76A5">
        <w:rPr>
          <w:bCs w:val="0"/>
          <w:szCs w:val="24"/>
        </w:rPr>
        <w:t xml:space="preserve"> </w:t>
      </w:r>
      <w:r w:rsidRPr="00B047D6">
        <w:rPr>
          <w:bCs w:val="0"/>
          <w:szCs w:val="24"/>
        </w:rPr>
        <w:t xml:space="preserve">CEOS Geostationary Atmospheric Chemistry Constellation and OMI tropospheric column nitrogen dioxide (NO2) showing high tropospheric NO2 columns associated with major industrialized regions (from </w:t>
      </w:r>
      <w:hyperlink r:id="rId31" w:history="1">
        <w:r w:rsidRPr="00B047D6">
          <w:rPr>
            <w:rStyle w:val="Hyperlink"/>
            <w:bCs w:val="0"/>
            <w:szCs w:val="24"/>
          </w:rPr>
          <w:t>http://tempo.si.edu/index.html</w:t>
        </w:r>
      </w:hyperlink>
      <w:r w:rsidRPr="00B047D6">
        <w:rPr>
          <w:bCs w:val="0"/>
          <w:szCs w:val="24"/>
        </w:rPr>
        <w:t>)</w:t>
      </w:r>
      <w:r w:rsidR="00910C60">
        <w:rPr>
          <w:bCs w:val="0"/>
          <w:szCs w:val="24"/>
        </w:rPr>
        <w:t>.</w:t>
      </w:r>
      <w:bookmarkEnd w:id="22"/>
    </w:p>
    <w:p w:rsidR="00377944" w:rsidRPr="00377944" w:rsidRDefault="00377944" w:rsidP="00377944"/>
    <w:p w:rsidR="00077EFF" w:rsidRDefault="00077EFF" w:rsidP="00077EFF">
      <w:pPr>
        <w:rPr>
          <w:rFonts w:eastAsia="ArialMT"/>
        </w:rPr>
      </w:pPr>
      <w:r>
        <w:t xml:space="preserve">The Geostationary Environment Spectrometer (GEMS) instrument is planned to be launched by the Korea Aerospace Research Institute (KARI) in 2019 onboard the Geostationary Korea Multi-Purpose Satellite (GeoKOMPSAT) and will cover a </w:t>
      </w:r>
      <w:r w:rsidRPr="00FB0DA3">
        <w:t xml:space="preserve">5000 km x 5000 km field of regard </w:t>
      </w:r>
      <w:r w:rsidR="00A979D9" w:rsidRPr="00FB0DA3">
        <w:t>cent</w:t>
      </w:r>
      <w:r w:rsidR="00A979D9">
        <w:t>red</w:t>
      </w:r>
      <w:r>
        <w:t xml:space="preserve"> over </w:t>
      </w:r>
      <w:r w:rsidRPr="00FB0DA3">
        <w:t>Korea</w:t>
      </w:r>
      <w:r>
        <w:t xml:space="preserve">. GEMS will measure radiances </w:t>
      </w:r>
      <w:r w:rsidRPr="00491248">
        <w:t>between 300 nm and 500 nm with a spectral resolution of less than 0.6 nm</w:t>
      </w:r>
      <w:r>
        <w:t xml:space="preserve"> and a spatial resolution of </w:t>
      </w:r>
      <w:r w:rsidRPr="00FA17A9">
        <w:rPr>
          <w:rFonts w:eastAsia="ArialMT"/>
        </w:rPr>
        <w:t>3.5 km N/S x 8 km E/W</w:t>
      </w:r>
      <w:r>
        <w:rPr>
          <w:rFonts w:eastAsia="ArialMT"/>
        </w:rPr>
        <w:t xml:space="preserve"> at </w:t>
      </w:r>
      <w:r w:rsidRPr="00FA17A9">
        <w:rPr>
          <w:rFonts w:eastAsia="ArialMT"/>
        </w:rPr>
        <w:t>38</w:t>
      </w:r>
      <w:r>
        <w:rPr>
          <w:rFonts w:eastAsia="ArialMT"/>
        </w:rPr>
        <w:t>°</w:t>
      </w:r>
      <w:r w:rsidRPr="00FA17A9">
        <w:rPr>
          <w:rFonts w:eastAsia="ArialMT"/>
        </w:rPr>
        <w:t>N</w:t>
      </w:r>
      <w:r w:rsidRPr="00FA17A9">
        <w:t xml:space="preserve">. </w:t>
      </w:r>
      <w:r>
        <w:t xml:space="preserve">The </w:t>
      </w:r>
      <w:r w:rsidRPr="00963CB3">
        <w:t>Tropospheric Emissions: Monitoring of Pollution</w:t>
      </w:r>
      <w:r>
        <w:t xml:space="preserve"> (TEMPO) instrument is part of the National Aeronautics and Space Administration (NASA) </w:t>
      </w:r>
      <w:r w:rsidRPr="002C70A0">
        <w:t xml:space="preserve">Earth System Science Pathfinder (ESSP) </w:t>
      </w:r>
      <w:r w:rsidRPr="00FB0DA3">
        <w:t xml:space="preserve">Earth Venture (EV) </w:t>
      </w:r>
      <w:r>
        <w:t>program</w:t>
      </w:r>
      <w:r>
        <w:rPr>
          <w:rStyle w:val="FootnoteReference"/>
          <w:szCs w:val="24"/>
        </w:rPr>
        <w:footnoteReference w:id="3"/>
      </w:r>
      <w:r>
        <w:t xml:space="preserve"> and is planned to be launched no later than 2021 as a hosted payload instrument onboard a commercial satellite. TEMPO will cover the continental US, and extend north to the Canadian oil sands, and south to Mexico City and the </w:t>
      </w:r>
      <w:r w:rsidRPr="00C92314">
        <w:t>Yucatan Peninsula</w:t>
      </w:r>
      <w:r>
        <w:t xml:space="preserve">. TEMPO will measure radiances between </w:t>
      </w:r>
      <w:r>
        <w:rPr>
          <w:rFonts w:eastAsia="ArialMT"/>
        </w:rPr>
        <w:t xml:space="preserve">290-490 and </w:t>
      </w:r>
      <w:r w:rsidRPr="00FA17A9">
        <w:rPr>
          <w:rFonts w:eastAsia="ArialMT"/>
        </w:rPr>
        <w:t>540-740 nm</w:t>
      </w:r>
      <w:r>
        <w:rPr>
          <w:rFonts w:ascii="ArialMT" w:eastAsia="ArialMT" w:cs="ArialMT"/>
          <w:sz w:val="26"/>
          <w:szCs w:val="26"/>
        </w:rPr>
        <w:t xml:space="preserve"> </w:t>
      </w:r>
      <w:r w:rsidRPr="00417C22">
        <w:rPr>
          <w:rFonts w:eastAsia="ArialMT"/>
        </w:rPr>
        <w:t xml:space="preserve">with a spectral resolution of 0.6 nm </w:t>
      </w:r>
      <w:r>
        <w:rPr>
          <w:rFonts w:eastAsia="ArialMT"/>
        </w:rPr>
        <w:t xml:space="preserve">(full width at half maximum, </w:t>
      </w:r>
      <w:r w:rsidRPr="00417C22">
        <w:rPr>
          <w:rFonts w:eastAsia="ArialMT"/>
        </w:rPr>
        <w:t>0.2 nm sampling</w:t>
      </w:r>
      <w:r>
        <w:rPr>
          <w:rFonts w:eastAsia="ArialMT"/>
        </w:rPr>
        <w:t>) and will have a</w:t>
      </w:r>
      <w:r w:rsidRPr="00FA17A9">
        <w:rPr>
          <w:rFonts w:eastAsia="ArialMT"/>
        </w:rPr>
        <w:t xml:space="preserve"> spatial resolution of 2.22 km N/S x 5.15 km </w:t>
      </w:r>
      <w:r>
        <w:rPr>
          <w:rFonts w:eastAsia="ArialMT"/>
        </w:rPr>
        <w:t xml:space="preserve">E/W at </w:t>
      </w:r>
      <w:r w:rsidRPr="00FA17A9">
        <w:rPr>
          <w:rFonts w:eastAsia="ArialMT"/>
        </w:rPr>
        <w:t>35</w:t>
      </w:r>
      <w:r>
        <w:rPr>
          <w:rFonts w:eastAsia="ArialMT"/>
        </w:rPr>
        <w:t>°</w:t>
      </w:r>
      <w:r w:rsidRPr="00FA17A9">
        <w:rPr>
          <w:rFonts w:eastAsia="ArialMT"/>
        </w:rPr>
        <w:t>N.</w:t>
      </w:r>
      <w:r>
        <w:t xml:space="preserve"> The European Sentinel-4 UV-Vis and Near-infrared sounder (UVN) is planned to be launched onboard the </w:t>
      </w:r>
      <w:r w:rsidRPr="00E619DC">
        <w:t>Meteosat Third Generation</w:t>
      </w:r>
      <w:r>
        <w:t xml:space="preserve"> Sounding (MTG-S) satellite in 2022</w:t>
      </w:r>
      <w:r>
        <w:rPr>
          <w:rStyle w:val="FootnoteReference"/>
          <w:szCs w:val="24"/>
        </w:rPr>
        <w:footnoteReference w:id="4"/>
      </w:r>
      <w:r>
        <w:t xml:space="preserve">. Sentinel-4 will measure radiances in the </w:t>
      </w:r>
      <w:r w:rsidRPr="00E83838">
        <w:t>305 nm to</w:t>
      </w:r>
      <w:r>
        <w:t xml:space="preserve"> 500 nm and 750 nm to 775 nm ranges with a </w:t>
      </w:r>
      <w:r w:rsidRPr="00E83838">
        <w:t>spectral</w:t>
      </w:r>
      <w:r>
        <w:t xml:space="preserve"> </w:t>
      </w:r>
      <w:r w:rsidRPr="00E83838">
        <w:t xml:space="preserve">resolution </w:t>
      </w:r>
      <w:r>
        <w:t>of 0.5 nm (UV-VIS) and 0.12 nm (NIR) and</w:t>
      </w:r>
      <w:r w:rsidRPr="00E83838">
        <w:t xml:space="preserve"> a spatial resolution of 8 km x 8 km </w:t>
      </w:r>
      <w:r>
        <w:t>at 45°N. The additional visible wavelengths (&gt; 540nm) on the TEMPO and Sentinel-4 instruments allows retrieval of both total and tropospheric ozone columns. TEMPO will also retrieve</w:t>
      </w:r>
      <w:r w:rsidRPr="00066CA1">
        <w:t xml:space="preserve"> </w:t>
      </w:r>
      <w:r>
        <w:t>g</w:t>
      </w:r>
      <w:r w:rsidRPr="00066CA1">
        <w:t>lyoxal</w:t>
      </w:r>
      <w:r>
        <w:rPr>
          <w:b/>
        </w:rPr>
        <w:t xml:space="preserve"> (</w:t>
      </w:r>
      <w:r w:rsidRPr="00066CA1">
        <w:rPr>
          <w:rFonts w:eastAsia="ArialMT"/>
        </w:rPr>
        <w:t>CHOCHO</w:t>
      </w:r>
      <w:r>
        <w:rPr>
          <w:rFonts w:eastAsia="ArialMT"/>
        </w:rPr>
        <w:t xml:space="preserve">). </w:t>
      </w:r>
    </w:p>
    <w:p w:rsidR="00377944" w:rsidRDefault="00377944" w:rsidP="00377944">
      <w:pPr>
        <w:pStyle w:val="BodyText"/>
        <w:spacing w:line="276" w:lineRule="exact"/>
        <w:ind w:right="114"/>
      </w:pPr>
      <w:r>
        <w:rPr>
          <w:rFonts w:eastAsia="ArialMT"/>
        </w:rPr>
        <w:t xml:space="preserve">These geostationary UV-Vis spectrometers have a long heritage on polar orbiting satellites, including </w:t>
      </w:r>
      <w:r w:rsidRPr="00BF3FB0">
        <w:t xml:space="preserve">the Ozone Monitoring Instrument (OMI) aboard NASA's Aura satellite, </w:t>
      </w:r>
      <w:r>
        <w:rPr>
          <w:spacing w:val="-1"/>
        </w:rPr>
        <w:t>from</w:t>
      </w:r>
      <w:r>
        <w:rPr>
          <w:spacing w:val="50"/>
        </w:rPr>
        <w:t xml:space="preserve"> </w:t>
      </w:r>
      <w:r>
        <w:t>the</w:t>
      </w:r>
      <w:r>
        <w:rPr>
          <w:spacing w:val="53"/>
          <w:w w:val="99"/>
        </w:rPr>
        <w:t xml:space="preserve"> </w:t>
      </w:r>
      <w:r>
        <w:rPr>
          <w:b/>
          <w:spacing w:val="-1"/>
        </w:rPr>
        <w:t>Sc</w:t>
      </w:r>
      <w:r>
        <w:rPr>
          <w:spacing w:val="-1"/>
        </w:rPr>
        <w:t>anning</w:t>
      </w:r>
      <w:r>
        <w:rPr>
          <w:spacing w:val="10"/>
        </w:rPr>
        <w:t xml:space="preserve"> </w:t>
      </w:r>
      <w:r>
        <w:rPr>
          <w:b/>
          <w:spacing w:val="-1"/>
        </w:rPr>
        <w:t>I</w:t>
      </w:r>
      <w:r>
        <w:rPr>
          <w:spacing w:val="-1"/>
        </w:rPr>
        <w:t>maging</w:t>
      </w:r>
      <w:r>
        <w:rPr>
          <w:spacing w:val="11"/>
        </w:rPr>
        <w:t xml:space="preserve"> </w:t>
      </w:r>
      <w:r>
        <w:rPr>
          <w:b/>
        </w:rPr>
        <w:t>A</w:t>
      </w:r>
      <w:r>
        <w:t>bsorption</w:t>
      </w:r>
      <w:r>
        <w:rPr>
          <w:spacing w:val="10"/>
        </w:rPr>
        <w:t xml:space="preserve"> </w:t>
      </w:r>
      <w:r>
        <w:rPr>
          <w:spacing w:val="-1"/>
        </w:rPr>
        <w:t>spectro</w:t>
      </w:r>
      <w:r>
        <w:rPr>
          <w:b/>
          <w:spacing w:val="-1"/>
        </w:rPr>
        <w:t>m</w:t>
      </w:r>
      <w:r>
        <w:rPr>
          <w:spacing w:val="-1"/>
        </w:rPr>
        <w:t>eter</w:t>
      </w:r>
      <w:r>
        <w:rPr>
          <w:spacing w:val="12"/>
        </w:rPr>
        <w:t xml:space="preserve"> </w:t>
      </w:r>
      <w:r>
        <w:rPr>
          <w:spacing w:val="-1"/>
        </w:rPr>
        <w:t>for</w:t>
      </w:r>
      <w:r>
        <w:rPr>
          <w:spacing w:val="12"/>
        </w:rPr>
        <w:t xml:space="preserve"> </w:t>
      </w:r>
      <w:r>
        <w:rPr>
          <w:b/>
          <w:spacing w:val="-1"/>
        </w:rPr>
        <w:t>A</w:t>
      </w:r>
      <w:r>
        <w:rPr>
          <w:spacing w:val="-1"/>
        </w:rPr>
        <w:t>tmospheric</w:t>
      </w:r>
      <w:r>
        <w:rPr>
          <w:spacing w:val="10"/>
        </w:rPr>
        <w:t xml:space="preserve"> </w:t>
      </w:r>
      <w:r>
        <w:rPr>
          <w:b/>
          <w:spacing w:val="-1"/>
        </w:rPr>
        <w:t>Ch</w:t>
      </w:r>
      <w:r>
        <w:rPr>
          <w:spacing w:val="-1"/>
        </w:rPr>
        <w:t>artograph</w:t>
      </w:r>
      <w:r>
        <w:rPr>
          <w:b/>
          <w:spacing w:val="-1"/>
        </w:rPr>
        <w:t>y</w:t>
      </w:r>
      <w:r>
        <w:rPr>
          <w:b/>
          <w:spacing w:val="11"/>
        </w:rPr>
        <w:t xml:space="preserve"> </w:t>
      </w:r>
      <w:r>
        <w:t>(SCIAMACHY), an in-kind contribution of Germany (DLR), the Netherlands (NSO), and Belgium (BelSpo)</w:t>
      </w:r>
      <w:r>
        <w:rPr>
          <w:spacing w:val="10"/>
        </w:rPr>
        <w:t xml:space="preserve"> </w:t>
      </w:r>
      <w:r>
        <w:t>on</w:t>
      </w:r>
      <w:r>
        <w:rPr>
          <w:spacing w:val="81"/>
        </w:rPr>
        <w:t xml:space="preserve"> </w:t>
      </w:r>
      <w:r>
        <w:t>the</w:t>
      </w:r>
      <w:r>
        <w:rPr>
          <w:spacing w:val="36"/>
        </w:rPr>
        <w:t xml:space="preserve"> </w:t>
      </w:r>
      <w:r>
        <w:t>Envisat</w:t>
      </w:r>
      <w:r>
        <w:rPr>
          <w:spacing w:val="36"/>
        </w:rPr>
        <w:t xml:space="preserve"> </w:t>
      </w:r>
      <w:r>
        <w:t>satellite</w:t>
      </w:r>
      <w:r>
        <w:rPr>
          <w:spacing w:val="36"/>
        </w:rPr>
        <w:t xml:space="preserve"> </w:t>
      </w:r>
      <w:r>
        <w:t>of</w:t>
      </w:r>
      <w:r>
        <w:rPr>
          <w:spacing w:val="37"/>
        </w:rPr>
        <w:t xml:space="preserve"> </w:t>
      </w:r>
      <w:r>
        <w:t>the</w:t>
      </w:r>
      <w:r>
        <w:rPr>
          <w:spacing w:val="36"/>
        </w:rPr>
        <w:t xml:space="preserve"> </w:t>
      </w:r>
      <w:r>
        <w:t>European</w:t>
      </w:r>
      <w:r>
        <w:rPr>
          <w:spacing w:val="36"/>
        </w:rPr>
        <w:t xml:space="preserve"> </w:t>
      </w:r>
      <w:r>
        <w:t>Space</w:t>
      </w:r>
      <w:r>
        <w:rPr>
          <w:spacing w:val="37"/>
        </w:rPr>
        <w:t xml:space="preserve"> </w:t>
      </w:r>
      <w:r>
        <w:rPr>
          <w:spacing w:val="-1"/>
        </w:rPr>
        <w:t>Agency,</w:t>
      </w:r>
      <w:r>
        <w:rPr>
          <w:spacing w:val="35"/>
        </w:rPr>
        <w:t xml:space="preserve"> </w:t>
      </w:r>
      <w:r>
        <w:t>and</w:t>
      </w:r>
      <w:r>
        <w:rPr>
          <w:spacing w:val="37"/>
        </w:rPr>
        <w:t xml:space="preserve"> </w:t>
      </w:r>
      <w:r>
        <w:t>from</w:t>
      </w:r>
      <w:r>
        <w:rPr>
          <w:spacing w:val="34"/>
        </w:rPr>
        <w:t xml:space="preserve"> </w:t>
      </w:r>
      <w:r>
        <w:t>the</w:t>
      </w:r>
      <w:r>
        <w:rPr>
          <w:spacing w:val="37"/>
        </w:rPr>
        <w:t xml:space="preserve"> </w:t>
      </w:r>
      <w:r>
        <w:t>Global</w:t>
      </w:r>
      <w:r>
        <w:rPr>
          <w:spacing w:val="37"/>
        </w:rPr>
        <w:t xml:space="preserve"> </w:t>
      </w:r>
      <w:r>
        <w:t>Ozone</w:t>
      </w:r>
      <w:r>
        <w:rPr>
          <w:spacing w:val="36"/>
        </w:rPr>
        <w:t xml:space="preserve"> </w:t>
      </w:r>
      <w:r>
        <w:t>Monitoring</w:t>
      </w:r>
      <w:r>
        <w:rPr>
          <w:spacing w:val="25"/>
          <w:w w:val="99"/>
        </w:rPr>
        <w:t xml:space="preserve"> </w:t>
      </w:r>
      <w:r>
        <w:rPr>
          <w:spacing w:val="-1"/>
        </w:rPr>
        <w:t>Experiment</w:t>
      </w:r>
      <w:r>
        <w:rPr>
          <w:spacing w:val="17"/>
        </w:rPr>
        <w:t xml:space="preserve"> </w:t>
      </w:r>
      <w:r>
        <w:t>(GOME)</w:t>
      </w:r>
      <w:r>
        <w:rPr>
          <w:spacing w:val="18"/>
        </w:rPr>
        <w:t xml:space="preserve"> </w:t>
      </w:r>
      <w:r>
        <w:rPr>
          <w:spacing w:val="-1"/>
        </w:rPr>
        <w:t>instruments 1 and 2</w:t>
      </w:r>
      <w:r>
        <w:rPr>
          <w:spacing w:val="18"/>
        </w:rPr>
        <w:t xml:space="preserve"> </w:t>
      </w:r>
      <w:r>
        <w:rPr>
          <w:spacing w:val="-1"/>
        </w:rPr>
        <w:t>flown</w:t>
      </w:r>
      <w:r>
        <w:rPr>
          <w:spacing w:val="18"/>
        </w:rPr>
        <w:t xml:space="preserve"> </w:t>
      </w:r>
      <w:r>
        <w:t>on ESA’s ERS-2 and</w:t>
      </w:r>
      <w:r>
        <w:rPr>
          <w:spacing w:val="19"/>
        </w:rPr>
        <w:t xml:space="preserve"> </w:t>
      </w:r>
      <w:r>
        <w:t>EUMETSAT</w:t>
      </w:r>
      <w:r>
        <w:rPr>
          <w:spacing w:val="18"/>
        </w:rPr>
        <w:t xml:space="preserve"> Polar System (EPS) Metop-satellites</w:t>
      </w:r>
      <w:r>
        <w:rPr>
          <w:spacing w:val="-1"/>
        </w:rPr>
        <w:t>, respectively.</w:t>
      </w:r>
      <w:r w:rsidRPr="00BF3FB0">
        <w:t xml:space="preserve"> The </w:t>
      </w:r>
      <w:r>
        <w:t>CEOS proposed Air Quality Constellation</w:t>
      </w:r>
      <w:r w:rsidRPr="00BF3FB0">
        <w:t xml:space="preserve"> will measure many of the same atmospheric constituents, but geostationary orbit will enable significantly higher spatial and temporal </w:t>
      </w:r>
      <w:r>
        <w:t>resolutions. The high resolution spatial sampling of the geostationary spectrometers will allow characterization of ozone, ozone precursors, and aerosols on an urban scale (Figure 9). The high temporal resolution of the geostationary spectrometers will allow characterization of morning through evening variations in ozone production associated with rush hour automotive emissions. By combining these geostationary measurements with next generation polar orbiting UV-Vis NIR</w:t>
      </w:r>
      <w:r>
        <w:rPr>
          <w:spacing w:val="16"/>
        </w:rPr>
        <w:t xml:space="preserve"> </w:t>
      </w:r>
      <w:r>
        <w:rPr>
          <w:spacing w:val="-1"/>
        </w:rPr>
        <w:t>sensors</w:t>
      </w:r>
      <w:r>
        <w:rPr>
          <w:spacing w:val="16"/>
        </w:rPr>
        <w:t xml:space="preserve"> </w:t>
      </w:r>
      <w:r>
        <w:rPr>
          <w:spacing w:val="-1"/>
        </w:rPr>
        <w:t>such</w:t>
      </w:r>
      <w:r>
        <w:rPr>
          <w:spacing w:val="16"/>
        </w:rPr>
        <w:t xml:space="preserve"> </w:t>
      </w:r>
      <w:r>
        <w:t>as</w:t>
      </w:r>
      <w:r>
        <w:rPr>
          <w:spacing w:val="16"/>
        </w:rPr>
        <w:t xml:space="preserve"> </w:t>
      </w:r>
      <w:r>
        <w:t>the</w:t>
      </w:r>
      <w:r>
        <w:rPr>
          <w:spacing w:val="17"/>
        </w:rPr>
        <w:t xml:space="preserve"> </w:t>
      </w:r>
      <w:r>
        <w:t>Tropospheric</w:t>
      </w:r>
      <w:r>
        <w:rPr>
          <w:spacing w:val="15"/>
        </w:rPr>
        <w:t xml:space="preserve"> </w:t>
      </w:r>
      <w:r>
        <w:rPr>
          <w:spacing w:val="-1"/>
        </w:rPr>
        <w:t>Monitoring</w:t>
      </w:r>
      <w:r>
        <w:rPr>
          <w:spacing w:val="16"/>
        </w:rPr>
        <w:t xml:space="preserve"> </w:t>
      </w:r>
      <w:r>
        <w:rPr>
          <w:spacing w:val="-1"/>
        </w:rPr>
        <w:t>Instrument</w:t>
      </w:r>
      <w:r>
        <w:rPr>
          <w:spacing w:val="27"/>
          <w:w w:val="99"/>
        </w:rPr>
        <w:t xml:space="preserve"> </w:t>
      </w:r>
      <w:r>
        <w:t>(TROPOMI)</w:t>
      </w:r>
      <w:r>
        <w:rPr>
          <w:spacing w:val="-4"/>
        </w:rPr>
        <w:t xml:space="preserve">, the only payload on ESA’s Sentinel-5 Precursor (S5P) mission, </w:t>
      </w:r>
      <w:r>
        <w:t>we</w:t>
      </w:r>
      <w:r>
        <w:rPr>
          <w:spacing w:val="-2"/>
        </w:rPr>
        <w:t xml:space="preserve"> </w:t>
      </w:r>
      <w:r>
        <w:t>will</w:t>
      </w:r>
      <w:r>
        <w:rPr>
          <w:spacing w:val="-2"/>
        </w:rPr>
        <w:t xml:space="preserve"> </w:t>
      </w:r>
      <w:r>
        <w:t>be</w:t>
      </w:r>
      <w:r>
        <w:rPr>
          <w:spacing w:val="-2"/>
        </w:rPr>
        <w:t xml:space="preserve"> </w:t>
      </w:r>
      <w:r>
        <w:t>able</w:t>
      </w:r>
      <w:r>
        <w:rPr>
          <w:spacing w:val="-3"/>
        </w:rPr>
        <w:t xml:space="preserve"> </w:t>
      </w:r>
      <w:r>
        <w:t>to</w:t>
      </w:r>
      <w:r>
        <w:rPr>
          <w:spacing w:val="-2"/>
        </w:rPr>
        <w:t xml:space="preserve"> </w:t>
      </w:r>
      <w:r>
        <w:rPr>
          <w:spacing w:val="-1"/>
        </w:rPr>
        <w:t>characterize</w:t>
      </w:r>
      <w:r>
        <w:rPr>
          <w:spacing w:val="-3"/>
        </w:rPr>
        <w:t xml:space="preserve"> </w:t>
      </w:r>
      <w:r>
        <w:rPr>
          <w:spacing w:val="-1"/>
        </w:rPr>
        <w:t>synoptic</w:t>
      </w:r>
      <w:r>
        <w:rPr>
          <w:spacing w:val="-2"/>
        </w:rPr>
        <w:t>-</w:t>
      </w:r>
      <w:r>
        <w:rPr>
          <w:spacing w:val="-1"/>
        </w:rPr>
        <w:t>scale</w:t>
      </w:r>
      <w:r>
        <w:rPr>
          <w:spacing w:val="-2"/>
        </w:rPr>
        <w:t xml:space="preserve"> </w:t>
      </w:r>
      <w:r>
        <w:rPr>
          <w:spacing w:val="-1"/>
        </w:rPr>
        <w:t>long</w:t>
      </w:r>
      <w:r>
        <w:rPr>
          <w:spacing w:val="-2"/>
        </w:rPr>
        <w:t>-</w:t>
      </w:r>
      <w:r>
        <w:t>range</w:t>
      </w:r>
      <w:r>
        <w:rPr>
          <w:spacing w:val="-2"/>
        </w:rPr>
        <w:t xml:space="preserve"> </w:t>
      </w:r>
      <w:r>
        <w:rPr>
          <w:spacing w:val="-1"/>
        </w:rPr>
        <w:t>transport</w:t>
      </w:r>
      <w:r>
        <w:rPr>
          <w:spacing w:val="-2"/>
        </w:rPr>
        <w:t xml:space="preserve"> </w:t>
      </w:r>
      <w:r>
        <w:t>of</w:t>
      </w:r>
      <w:r>
        <w:rPr>
          <w:spacing w:val="-4"/>
        </w:rPr>
        <w:t xml:space="preserve"> </w:t>
      </w:r>
      <w:r>
        <w:rPr>
          <w:spacing w:val="-1"/>
        </w:rPr>
        <w:t>pollution</w:t>
      </w:r>
      <w:r>
        <w:rPr>
          <w:spacing w:val="-3"/>
        </w:rPr>
        <w:t xml:space="preserve"> </w:t>
      </w:r>
      <w:r>
        <w:rPr>
          <w:spacing w:val="-1"/>
        </w:rPr>
        <w:t>from</w:t>
      </w:r>
      <w:r>
        <w:rPr>
          <w:spacing w:val="71"/>
          <w:w w:val="99"/>
        </w:rPr>
        <w:t xml:space="preserve"> </w:t>
      </w:r>
      <w:r>
        <w:rPr>
          <w:spacing w:val="-1"/>
        </w:rPr>
        <w:t>emission</w:t>
      </w:r>
      <w:r>
        <w:rPr>
          <w:spacing w:val="13"/>
        </w:rPr>
        <w:t xml:space="preserve"> </w:t>
      </w:r>
      <w:r>
        <w:t>sources</w:t>
      </w:r>
      <w:r>
        <w:rPr>
          <w:spacing w:val="15"/>
        </w:rPr>
        <w:t xml:space="preserve"> </w:t>
      </w:r>
      <w:r>
        <w:t>to</w:t>
      </w:r>
      <w:r>
        <w:rPr>
          <w:spacing w:val="15"/>
        </w:rPr>
        <w:t xml:space="preserve"> </w:t>
      </w:r>
      <w:r>
        <w:t>receptor</w:t>
      </w:r>
      <w:r>
        <w:rPr>
          <w:spacing w:val="15"/>
        </w:rPr>
        <w:t xml:space="preserve"> </w:t>
      </w:r>
      <w:r>
        <w:t>regions.</w:t>
      </w:r>
      <w:r>
        <w:rPr>
          <w:spacing w:val="14"/>
        </w:rPr>
        <w:t xml:space="preserve"> The polar orbiting Sentinel-5 Precursor serves as the gap filler between SCIAMACHY and Sentinel-5 and is instrumented with </w:t>
      </w:r>
      <w:r>
        <w:t>TROPOMI, a</w:t>
      </w:r>
      <w:r>
        <w:rPr>
          <w:spacing w:val="15"/>
        </w:rPr>
        <w:t xml:space="preserve"> </w:t>
      </w:r>
      <w:r>
        <w:rPr>
          <w:spacing w:val="-1"/>
        </w:rPr>
        <w:t>spectrometer</w:t>
      </w:r>
      <w:r>
        <w:rPr>
          <w:spacing w:val="14"/>
        </w:rPr>
        <w:t xml:space="preserve"> </w:t>
      </w:r>
      <w:r>
        <w:t>with</w:t>
      </w:r>
      <w:r>
        <w:rPr>
          <w:spacing w:val="15"/>
        </w:rPr>
        <w:t xml:space="preserve"> </w:t>
      </w:r>
      <w:r>
        <w:t>bands</w:t>
      </w:r>
      <w:r>
        <w:rPr>
          <w:spacing w:val="15"/>
        </w:rPr>
        <w:t xml:space="preserve"> </w:t>
      </w:r>
      <w:r>
        <w:t>in</w:t>
      </w:r>
      <w:r>
        <w:rPr>
          <w:spacing w:val="33"/>
          <w:w w:val="99"/>
        </w:rPr>
        <w:t xml:space="preserve"> </w:t>
      </w:r>
      <w:r>
        <w:t>the</w:t>
      </w:r>
      <w:r>
        <w:rPr>
          <w:spacing w:val="7"/>
        </w:rPr>
        <w:t xml:space="preserve"> </w:t>
      </w:r>
      <w:r>
        <w:t>ultraviolet</w:t>
      </w:r>
      <w:r>
        <w:rPr>
          <w:spacing w:val="8"/>
        </w:rPr>
        <w:t xml:space="preserve"> </w:t>
      </w:r>
      <w:r>
        <w:t>and</w:t>
      </w:r>
      <w:r>
        <w:rPr>
          <w:spacing w:val="-4"/>
        </w:rPr>
        <w:t xml:space="preserve"> </w:t>
      </w:r>
      <w:r>
        <w:t>visible</w:t>
      </w:r>
      <w:r>
        <w:rPr>
          <w:spacing w:val="8"/>
        </w:rPr>
        <w:t xml:space="preserve"> </w:t>
      </w:r>
      <w:r>
        <w:t>(270</w:t>
      </w:r>
      <w:r>
        <w:rPr>
          <w:spacing w:val="7"/>
        </w:rPr>
        <w:t xml:space="preserve"> </w:t>
      </w:r>
      <w:r>
        <w:t>to</w:t>
      </w:r>
      <w:r>
        <w:rPr>
          <w:spacing w:val="-5"/>
        </w:rPr>
        <w:t xml:space="preserve"> </w:t>
      </w:r>
      <w:r>
        <w:t>495</w:t>
      </w:r>
      <w:r>
        <w:rPr>
          <w:spacing w:val="7"/>
        </w:rPr>
        <w:t xml:space="preserve"> </w:t>
      </w:r>
      <w:r>
        <w:rPr>
          <w:spacing w:val="-1"/>
        </w:rPr>
        <w:t>nm),</w:t>
      </w:r>
      <w:r>
        <w:rPr>
          <w:spacing w:val="8"/>
        </w:rPr>
        <w:t xml:space="preserve"> </w:t>
      </w:r>
      <w:r>
        <w:t>the</w:t>
      </w:r>
      <w:r>
        <w:rPr>
          <w:spacing w:val="7"/>
        </w:rPr>
        <w:t xml:space="preserve"> </w:t>
      </w:r>
      <w:r>
        <w:t>near</w:t>
      </w:r>
      <w:r>
        <w:rPr>
          <w:spacing w:val="8"/>
        </w:rPr>
        <w:t xml:space="preserve"> </w:t>
      </w:r>
      <w:r>
        <w:t>infrared</w:t>
      </w:r>
      <w:r>
        <w:rPr>
          <w:spacing w:val="7"/>
        </w:rPr>
        <w:t xml:space="preserve"> </w:t>
      </w:r>
      <w:r>
        <w:t>(675</w:t>
      </w:r>
      <w:r>
        <w:rPr>
          <w:spacing w:val="7"/>
        </w:rPr>
        <w:t xml:space="preserve"> </w:t>
      </w:r>
      <w:r>
        <w:t>to</w:t>
      </w:r>
      <w:r>
        <w:rPr>
          <w:spacing w:val="8"/>
        </w:rPr>
        <w:t xml:space="preserve"> </w:t>
      </w:r>
      <w:r>
        <w:t>775</w:t>
      </w:r>
      <w:r>
        <w:rPr>
          <w:spacing w:val="7"/>
        </w:rPr>
        <w:t xml:space="preserve"> </w:t>
      </w:r>
      <w:r>
        <w:rPr>
          <w:spacing w:val="-1"/>
        </w:rPr>
        <w:t>nm)</w:t>
      </w:r>
      <w:r>
        <w:rPr>
          <w:spacing w:val="8"/>
        </w:rPr>
        <w:t xml:space="preserve"> </w:t>
      </w:r>
      <w:r>
        <w:t>and</w:t>
      </w:r>
      <w:r>
        <w:rPr>
          <w:spacing w:val="7"/>
        </w:rPr>
        <w:t xml:space="preserve"> </w:t>
      </w:r>
      <w:r>
        <w:t>the</w:t>
      </w:r>
      <w:r>
        <w:rPr>
          <w:spacing w:val="8"/>
        </w:rPr>
        <w:t xml:space="preserve"> </w:t>
      </w:r>
      <w:r>
        <w:rPr>
          <w:spacing w:val="-1"/>
        </w:rPr>
        <w:t>shortwave</w:t>
      </w:r>
      <w:r>
        <w:rPr>
          <w:spacing w:val="23"/>
          <w:w w:val="99"/>
        </w:rPr>
        <w:t xml:space="preserve"> </w:t>
      </w:r>
      <w:r>
        <w:t>infrared</w:t>
      </w:r>
      <w:r>
        <w:rPr>
          <w:spacing w:val="6"/>
        </w:rPr>
        <w:t xml:space="preserve"> </w:t>
      </w:r>
      <w:r>
        <w:t>(2305</w:t>
      </w:r>
      <w:r>
        <w:rPr>
          <w:spacing w:val="7"/>
        </w:rPr>
        <w:t xml:space="preserve"> </w:t>
      </w:r>
      <w:r>
        <w:t>to</w:t>
      </w:r>
      <w:r>
        <w:rPr>
          <w:spacing w:val="6"/>
        </w:rPr>
        <w:t xml:space="preserve"> </w:t>
      </w:r>
      <w:r>
        <w:t>2385</w:t>
      </w:r>
      <w:r>
        <w:rPr>
          <w:spacing w:val="6"/>
        </w:rPr>
        <w:t xml:space="preserve"> </w:t>
      </w:r>
      <w:r>
        <w:rPr>
          <w:spacing w:val="-1"/>
        </w:rPr>
        <w:t>nm)</w:t>
      </w:r>
      <w:r>
        <w:rPr>
          <w:spacing w:val="6"/>
        </w:rPr>
        <w:t xml:space="preserve"> </w:t>
      </w:r>
      <w:r>
        <w:t>with</w:t>
      </w:r>
      <w:r>
        <w:rPr>
          <w:spacing w:val="6"/>
        </w:rPr>
        <w:t xml:space="preserve"> </w:t>
      </w:r>
      <w:r>
        <w:t>a</w:t>
      </w:r>
      <w:r>
        <w:rPr>
          <w:spacing w:val="6"/>
        </w:rPr>
        <w:t xml:space="preserve"> </w:t>
      </w:r>
      <w:r>
        <w:t>spatial</w:t>
      </w:r>
      <w:r>
        <w:rPr>
          <w:spacing w:val="7"/>
        </w:rPr>
        <w:t xml:space="preserve"> </w:t>
      </w:r>
      <w:r>
        <w:t>resolution</w:t>
      </w:r>
      <w:r>
        <w:rPr>
          <w:spacing w:val="7"/>
        </w:rPr>
        <w:t xml:space="preserve"> </w:t>
      </w:r>
      <w:r>
        <w:t>of</w:t>
      </w:r>
      <w:r>
        <w:rPr>
          <w:spacing w:val="5"/>
        </w:rPr>
        <w:t xml:space="preserve"> </w:t>
      </w:r>
      <w:r>
        <w:rPr>
          <w:spacing w:val="-1"/>
        </w:rPr>
        <w:t>7×7 km</w:t>
      </w:r>
      <w:r w:rsidRPr="00B64743">
        <w:rPr>
          <w:spacing w:val="-1"/>
          <w:vertAlign w:val="superscript"/>
        </w:rPr>
        <w:t>2</w:t>
      </w:r>
      <w:r>
        <w:rPr>
          <w:spacing w:val="6"/>
        </w:rPr>
        <w:t xml:space="preserve"> </w:t>
      </w:r>
      <w:r>
        <w:t>that</w:t>
      </w:r>
      <w:r>
        <w:rPr>
          <w:spacing w:val="6"/>
        </w:rPr>
        <w:t xml:space="preserve"> </w:t>
      </w:r>
      <w:r>
        <w:rPr>
          <w:spacing w:val="-1"/>
        </w:rPr>
        <w:t>will</w:t>
      </w:r>
      <w:r>
        <w:rPr>
          <w:spacing w:val="7"/>
        </w:rPr>
        <w:t xml:space="preserve"> </w:t>
      </w:r>
      <w:r>
        <w:rPr>
          <w:spacing w:val="-1"/>
        </w:rPr>
        <w:t>be</w:t>
      </w:r>
      <w:r>
        <w:rPr>
          <w:spacing w:val="6"/>
        </w:rPr>
        <w:t xml:space="preserve"> </w:t>
      </w:r>
      <w:r>
        <w:t>launched</w:t>
      </w:r>
      <w:r>
        <w:rPr>
          <w:spacing w:val="6"/>
        </w:rPr>
        <w:t xml:space="preserve"> </w:t>
      </w:r>
      <w:r>
        <w:rPr>
          <w:spacing w:val="-1"/>
        </w:rPr>
        <w:t>during</w:t>
      </w:r>
      <w:r>
        <w:rPr>
          <w:spacing w:val="6"/>
        </w:rPr>
        <w:t xml:space="preserve"> </w:t>
      </w:r>
      <w:r>
        <w:t>the</w:t>
      </w:r>
      <w:r>
        <w:rPr>
          <w:spacing w:val="26"/>
          <w:w w:val="99"/>
        </w:rPr>
        <w:t xml:space="preserve"> </w:t>
      </w:r>
      <w:r>
        <w:t>fourth</w:t>
      </w:r>
      <w:r>
        <w:rPr>
          <w:spacing w:val="-5"/>
        </w:rPr>
        <w:t xml:space="preserve"> </w:t>
      </w:r>
      <w:r>
        <w:t>quarter</w:t>
      </w:r>
      <w:r>
        <w:rPr>
          <w:spacing w:val="-4"/>
        </w:rPr>
        <w:t xml:space="preserve"> </w:t>
      </w:r>
      <w:r>
        <w:t>of</w:t>
      </w:r>
      <w:r>
        <w:rPr>
          <w:spacing w:val="-5"/>
        </w:rPr>
        <w:t xml:space="preserve"> </w:t>
      </w:r>
      <w:r>
        <w:rPr>
          <w:spacing w:val="-1"/>
        </w:rPr>
        <w:t>2016</w:t>
      </w:r>
      <w:r>
        <w:rPr>
          <w:spacing w:val="-1"/>
          <w:position w:val="11"/>
          <w:sz w:val="16"/>
        </w:rPr>
        <w:t>4,5</w:t>
      </w:r>
      <w:r>
        <w:rPr>
          <w:spacing w:val="-1"/>
        </w:rPr>
        <w:t xml:space="preserve">. Sentinel-5 Precursor can be understood as a complement to the European Union Copernicus program which includes Sentinel-5 onboard EUMETSAT’s Polar System Second Generation (EPS-SG). Sentinel-5 combines five spectrometers with bands in the UV-Vis (270-370 nm, 370-500 nm), the NIR (685-773 nm), and the SWIR (1590-1675 nm and 2305-2385 nm) with a spatial resolution of 7×7km². Sentinel-5 will be operated on the Metop-SG satellite A series from 2021 onwards, with a total mission lifetime of around 21 years on three sequentially launched modules. </w:t>
      </w:r>
    </w:p>
    <w:p w:rsidR="00377944" w:rsidRPr="006D3AEA" w:rsidRDefault="00377944" w:rsidP="00071B54">
      <w:pPr>
        <w:autoSpaceDE w:val="0"/>
        <w:autoSpaceDN w:val="0"/>
        <w:adjustRightInd w:val="0"/>
        <w:spacing w:after="240"/>
        <w:rPr>
          <w:rFonts w:eastAsia="ArialMT"/>
          <w:szCs w:val="24"/>
        </w:rPr>
      </w:pPr>
      <w:r>
        <w:rPr>
          <w:szCs w:val="24"/>
        </w:rPr>
        <w:t xml:space="preserve">In addition to these UV-Vis spectrometers there are also plans to launch geostationary hyper- spectral infrared (IR) sounding instruments </w:t>
      </w:r>
      <w:r>
        <w:rPr>
          <w:rFonts w:eastAsia="ArialMT"/>
          <w:szCs w:val="24"/>
        </w:rPr>
        <w:t xml:space="preserve">over both Europe and Asia. However, there are currently no plans to launch geostationary hyper-spectral infrared sounders over North America. The planned geostationary hyper-spectral infrared sounding instruments include the European Space Agency (ESA) </w:t>
      </w:r>
      <w:r w:rsidRPr="00DE7E94">
        <w:rPr>
          <w:szCs w:val="24"/>
        </w:rPr>
        <w:t xml:space="preserve">Infra Red Sounder </w:t>
      </w:r>
      <w:r>
        <w:rPr>
          <w:szCs w:val="24"/>
        </w:rPr>
        <w:t xml:space="preserve">(IRS) </w:t>
      </w:r>
      <w:r w:rsidRPr="00DE7E94">
        <w:rPr>
          <w:szCs w:val="24"/>
        </w:rPr>
        <w:t xml:space="preserve">onboard </w:t>
      </w:r>
      <w:r w:rsidRPr="00E619DC">
        <w:rPr>
          <w:szCs w:val="24"/>
        </w:rPr>
        <w:t>Meteosat Third Generation</w:t>
      </w:r>
      <w:r>
        <w:rPr>
          <w:szCs w:val="24"/>
        </w:rPr>
        <w:t xml:space="preserve"> Sounder (MTG-S1) in 2022</w:t>
      </w:r>
      <w:r>
        <w:rPr>
          <w:rStyle w:val="FootnoteReference"/>
          <w:szCs w:val="24"/>
        </w:rPr>
        <w:footnoteReference w:id="5"/>
      </w:r>
      <w:r>
        <w:rPr>
          <w:szCs w:val="24"/>
        </w:rPr>
        <w:t xml:space="preserve"> and the China Meteorological </w:t>
      </w:r>
      <w:r w:rsidRPr="00A97FB8">
        <w:rPr>
          <w:szCs w:val="24"/>
        </w:rPr>
        <w:t>Administation</w:t>
      </w:r>
      <w:r>
        <w:rPr>
          <w:szCs w:val="24"/>
        </w:rPr>
        <w:t xml:space="preserve"> (CMA) </w:t>
      </w:r>
      <w:r w:rsidRPr="00EA201C">
        <w:rPr>
          <w:szCs w:val="24"/>
        </w:rPr>
        <w:t>Geostationary Interferometric Infrared Sounder (GIIRS) on board the Feng-Yun - 4  (FY</w:t>
      </w:r>
      <w:r>
        <w:rPr>
          <w:szCs w:val="24"/>
        </w:rPr>
        <w:t>-</w:t>
      </w:r>
      <w:r w:rsidRPr="00EA201C">
        <w:rPr>
          <w:szCs w:val="24"/>
        </w:rPr>
        <w:t>4)</w:t>
      </w:r>
      <w:r>
        <w:rPr>
          <w:szCs w:val="24"/>
        </w:rPr>
        <w:t xml:space="preserve"> in 2016</w:t>
      </w:r>
      <w:r w:rsidRPr="00EA201C">
        <w:rPr>
          <w:szCs w:val="24"/>
        </w:rPr>
        <w:t>. I</w:t>
      </w:r>
      <w:r>
        <w:rPr>
          <w:szCs w:val="24"/>
        </w:rPr>
        <w:t xml:space="preserve">RS will provide IR measurements in two wavenumber (wavelength) regions:  </w:t>
      </w:r>
      <w:r w:rsidRPr="00EA201C">
        <w:rPr>
          <w:szCs w:val="24"/>
        </w:rPr>
        <w:t>700 - 1210 cm</w:t>
      </w:r>
      <w:r w:rsidRPr="00EA201C">
        <w:rPr>
          <w:szCs w:val="24"/>
          <w:vertAlign w:val="superscript"/>
        </w:rPr>
        <w:t xml:space="preserve">-1  </w:t>
      </w:r>
      <w:r w:rsidRPr="00EA201C">
        <w:rPr>
          <w:szCs w:val="24"/>
        </w:rPr>
        <w:t>(14.3 - 8.26 µm) and 1600 - 2175 cm</w:t>
      </w:r>
      <w:r w:rsidRPr="00EA201C">
        <w:rPr>
          <w:szCs w:val="24"/>
          <w:vertAlign w:val="superscript"/>
        </w:rPr>
        <w:t xml:space="preserve">-1 </w:t>
      </w:r>
      <w:r w:rsidRPr="00EA201C">
        <w:rPr>
          <w:szCs w:val="24"/>
        </w:rPr>
        <w:t>(6.25 – 4.6 µm) at a spectral resolution of 0.625 cm</w:t>
      </w:r>
      <w:r w:rsidRPr="00EA201C">
        <w:rPr>
          <w:szCs w:val="24"/>
          <w:vertAlign w:val="superscript"/>
        </w:rPr>
        <w:t>-1</w:t>
      </w:r>
      <w:r>
        <w:rPr>
          <w:szCs w:val="24"/>
          <w:vertAlign w:val="superscript"/>
        </w:rPr>
        <w:t xml:space="preserve"> </w:t>
      </w:r>
      <w:r w:rsidRPr="006D3AEA">
        <w:rPr>
          <w:szCs w:val="24"/>
        </w:rPr>
        <w:t>and a spatial resolution of</w:t>
      </w:r>
      <w:r>
        <w:rPr>
          <w:szCs w:val="24"/>
          <w:vertAlign w:val="superscript"/>
        </w:rPr>
        <w:t xml:space="preserve"> </w:t>
      </w:r>
      <w:r>
        <w:rPr>
          <w:rFonts w:eastAsia="ArialMT"/>
          <w:szCs w:val="24"/>
        </w:rPr>
        <w:t xml:space="preserve">4 km. GIIRS will provide IR measurements in similar wavelength regions: </w:t>
      </w:r>
      <w:r>
        <w:rPr>
          <w:szCs w:val="24"/>
        </w:rPr>
        <w:t>700 - 113</w:t>
      </w:r>
      <w:r w:rsidRPr="00EA201C">
        <w:rPr>
          <w:szCs w:val="24"/>
        </w:rPr>
        <w:t>0 cm</w:t>
      </w:r>
      <w:r w:rsidRPr="00EA201C">
        <w:rPr>
          <w:szCs w:val="24"/>
          <w:vertAlign w:val="superscript"/>
        </w:rPr>
        <w:t xml:space="preserve">-1  </w:t>
      </w:r>
      <w:r w:rsidRPr="00EA201C">
        <w:rPr>
          <w:szCs w:val="24"/>
        </w:rPr>
        <w:t>(</w:t>
      </w:r>
      <w:r>
        <w:rPr>
          <w:szCs w:val="24"/>
        </w:rPr>
        <w:t>14.3 - 8.85</w:t>
      </w:r>
      <w:r w:rsidRPr="00EA201C">
        <w:rPr>
          <w:szCs w:val="24"/>
        </w:rPr>
        <w:t xml:space="preserve"> µm) and </w:t>
      </w:r>
      <w:r>
        <w:rPr>
          <w:szCs w:val="24"/>
        </w:rPr>
        <w:t>1650 - 22</w:t>
      </w:r>
      <w:r w:rsidRPr="00EA201C">
        <w:rPr>
          <w:szCs w:val="24"/>
        </w:rPr>
        <w:t>5</w:t>
      </w:r>
      <w:r>
        <w:rPr>
          <w:szCs w:val="24"/>
        </w:rPr>
        <w:t>0</w:t>
      </w:r>
      <w:r w:rsidRPr="00EA201C">
        <w:rPr>
          <w:szCs w:val="24"/>
        </w:rPr>
        <w:t xml:space="preserve"> cm</w:t>
      </w:r>
      <w:r w:rsidRPr="00EA201C">
        <w:rPr>
          <w:szCs w:val="24"/>
          <w:vertAlign w:val="superscript"/>
        </w:rPr>
        <w:t xml:space="preserve">-1 </w:t>
      </w:r>
      <w:r w:rsidRPr="00EA201C">
        <w:rPr>
          <w:szCs w:val="24"/>
        </w:rPr>
        <w:t>(</w:t>
      </w:r>
      <w:r>
        <w:rPr>
          <w:szCs w:val="24"/>
        </w:rPr>
        <w:t>6.06 – 4.44</w:t>
      </w:r>
      <w:r w:rsidRPr="00EA201C">
        <w:rPr>
          <w:szCs w:val="24"/>
        </w:rPr>
        <w:t xml:space="preserve"> µm) a</w:t>
      </w:r>
      <w:r>
        <w:rPr>
          <w:szCs w:val="24"/>
        </w:rPr>
        <w:t xml:space="preserve">t slightly lower </w:t>
      </w:r>
      <w:r w:rsidRPr="00EA201C">
        <w:rPr>
          <w:szCs w:val="24"/>
        </w:rPr>
        <w:t>spectral resolution</w:t>
      </w:r>
      <w:r>
        <w:rPr>
          <w:szCs w:val="24"/>
        </w:rPr>
        <w:t>s</w:t>
      </w:r>
      <w:r w:rsidRPr="00EA201C">
        <w:rPr>
          <w:szCs w:val="24"/>
        </w:rPr>
        <w:t xml:space="preserve"> of </w:t>
      </w:r>
      <w:r w:rsidRPr="006D3AEA">
        <w:rPr>
          <w:szCs w:val="24"/>
        </w:rPr>
        <w:t>0.8 cm</w:t>
      </w:r>
      <w:r w:rsidRPr="006D3AEA">
        <w:rPr>
          <w:szCs w:val="24"/>
          <w:vertAlign w:val="superscript"/>
        </w:rPr>
        <w:t>-1</w:t>
      </w:r>
      <w:r w:rsidRPr="006D3AEA">
        <w:rPr>
          <w:szCs w:val="24"/>
        </w:rPr>
        <w:t xml:space="preserve"> and 1.6 cm</w:t>
      </w:r>
      <w:r w:rsidRPr="006D3AEA">
        <w:rPr>
          <w:szCs w:val="24"/>
          <w:vertAlign w:val="superscript"/>
        </w:rPr>
        <w:t>-1</w:t>
      </w:r>
      <w:r w:rsidRPr="006D3AEA">
        <w:rPr>
          <w:szCs w:val="24"/>
        </w:rPr>
        <w:t xml:space="preserve"> respectively</w:t>
      </w:r>
      <w:r>
        <w:rPr>
          <w:szCs w:val="24"/>
        </w:rPr>
        <w:t xml:space="preserve"> and a spatial resolution of 16 km. These IR sounders are primarily designed for high temporal and vertical resolution retrievals of temperature and water vapor for meteorological applications, but will also provide information on upper tropospheric and lower stratospheric ozone. Studies have shown that combining geostationary UV-Vis and IR measurements provides significant improvements in retrieving tropospheric ozone (Natraj et al, 2011). </w:t>
      </w:r>
    </w:p>
    <w:p w:rsidR="00BD76A5" w:rsidRDefault="00E20A8A" w:rsidP="00BD76A5">
      <w:pPr>
        <w:keepNext/>
        <w:jc w:val="center"/>
      </w:pPr>
      <w:r>
        <w:rPr>
          <w:noProof/>
          <w:lang w:val="en-US" w:eastAsia="en-US"/>
        </w:rPr>
        <w:drawing>
          <wp:inline distT="0" distB="0" distL="0" distR="0">
            <wp:extent cx="5195582" cy="4089197"/>
            <wp:effectExtent l="19050" t="0" r="5068" b="0"/>
            <wp:docPr id="8" name="Picture 2" descr="C:\Users\Brad Pierce\Documents\Attachments\jun_01\tempo_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rad Pierce\Documents\Attachments\jun_01\tempo_resolution.jpg"/>
                    <pic:cNvPicPr>
                      <a:picLocks noChangeAspect="1" noChangeArrowheads="1"/>
                    </pic:cNvPicPr>
                  </pic:nvPicPr>
                  <pic:blipFill>
                    <a:blip r:embed="rId32" cstate="print"/>
                    <a:srcRect/>
                    <a:stretch>
                      <a:fillRect/>
                    </a:stretch>
                  </pic:blipFill>
                  <pic:spPr bwMode="auto">
                    <a:xfrm>
                      <a:off x="0" y="0"/>
                      <a:ext cx="5194793" cy="4088576"/>
                    </a:xfrm>
                    <a:prstGeom prst="rect">
                      <a:avLst/>
                    </a:prstGeom>
                    <a:noFill/>
                    <a:ln w="9525">
                      <a:noFill/>
                      <a:miter lim="800000"/>
                      <a:headEnd/>
                      <a:tailEnd/>
                    </a:ln>
                  </pic:spPr>
                </pic:pic>
              </a:graphicData>
            </a:graphic>
          </wp:inline>
        </w:drawing>
      </w:r>
    </w:p>
    <w:p w:rsidR="00BD76A5" w:rsidRDefault="00BD76A5" w:rsidP="00BD76A5">
      <w:pPr>
        <w:pStyle w:val="Caption"/>
        <w:spacing w:after="0"/>
        <w:jc w:val="center"/>
        <w:rPr>
          <w:bCs w:val="0"/>
          <w:szCs w:val="24"/>
        </w:rPr>
      </w:pPr>
      <w:bookmarkStart w:id="23" w:name="_Toc460923866"/>
      <w:r>
        <w:t xml:space="preserve">Figure </w:t>
      </w:r>
      <w:r w:rsidR="00E27A82">
        <w:fldChar w:fldCharType="begin"/>
      </w:r>
      <w:r w:rsidR="002D15AB">
        <w:instrText xml:space="preserve"> SEQ Figure \* ARABIC </w:instrText>
      </w:r>
      <w:r w:rsidR="00E27A82">
        <w:fldChar w:fldCharType="separate"/>
      </w:r>
      <w:r w:rsidR="00ED66C2">
        <w:rPr>
          <w:noProof/>
        </w:rPr>
        <w:t>9</w:t>
      </w:r>
      <w:r w:rsidR="00E27A82">
        <w:fldChar w:fldCharType="end"/>
      </w:r>
      <w:r w:rsidR="00910C60">
        <w:t>:</w:t>
      </w:r>
      <w:r w:rsidRPr="00BD76A5">
        <w:rPr>
          <w:bCs w:val="0"/>
          <w:szCs w:val="24"/>
        </w:rPr>
        <w:t xml:space="preserve"> </w:t>
      </w:r>
      <w:r w:rsidRPr="001953A5">
        <w:rPr>
          <w:bCs w:val="0"/>
          <w:szCs w:val="24"/>
        </w:rPr>
        <w:t xml:space="preserve">Spatial sampling of hourly TEMPO measurements relative to the Washington DC metropolitan area. </w:t>
      </w:r>
      <w:r w:rsidRPr="001953A5">
        <w:rPr>
          <w:szCs w:val="24"/>
        </w:rPr>
        <w:t xml:space="preserve">Each orange rectangle represents the footprint of a single pixel (from </w:t>
      </w:r>
      <w:r w:rsidRPr="001953A5">
        <w:rPr>
          <w:bCs w:val="0"/>
          <w:szCs w:val="24"/>
        </w:rPr>
        <w:t>http://tempo.si.edu/index.html)</w:t>
      </w:r>
      <w:r w:rsidR="00910C60">
        <w:rPr>
          <w:bCs w:val="0"/>
          <w:szCs w:val="24"/>
        </w:rPr>
        <w:t>.</w:t>
      </w:r>
      <w:bookmarkEnd w:id="23"/>
      <w:r w:rsidRPr="001953A5">
        <w:rPr>
          <w:bCs w:val="0"/>
          <w:szCs w:val="24"/>
        </w:rPr>
        <w:t xml:space="preserve">  </w:t>
      </w:r>
    </w:p>
    <w:p w:rsidR="00377944" w:rsidRDefault="00377944" w:rsidP="00377944">
      <w:pPr>
        <w:pStyle w:val="Heading3"/>
      </w:pPr>
      <w:r>
        <w:t>Ocean Colo</w:t>
      </w:r>
      <w:r w:rsidR="00177A91">
        <w:t>u</w:t>
      </w:r>
      <w:r>
        <w:t>r Sensors</w:t>
      </w:r>
    </w:p>
    <w:p w:rsidR="00071B54" w:rsidRDefault="00377944" w:rsidP="00377944">
      <w:r>
        <w:t xml:space="preserve">The Geostationary Ocean </w:t>
      </w:r>
      <w:r w:rsidR="00177A91">
        <w:t>Colour</w:t>
      </w:r>
      <w:r>
        <w:t xml:space="preserve"> Imager (GOCI) is the first and only ocean </w:t>
      </w:r>
      <w:r w:rsidR="00177A91">
        <w:t>colour</w:t>
      </w:r>
      <w:r w:rsidR="00641C0D">
        <w:t xml:space="preserve"> sensor launched in</w:t>
      </w:r>
      <w:r>
        <w:t xml:space="preserve">to geostationary orbit.  It was developed by the Korean Aerospace Research Institute (KARI) and successfully launched in 2010 on board the Communication Ocean and Meteorological Satellite (COMS).  GOCI collects data at 500m spatial resolution in 8 spectral bands (6 visible, 2 NIR) ranging from 412nm to 864nm, every hour (about 8 times daily). The </w:t>
      </w:r>
      <w:r w:rsidR="00177A91">
        <w:t>centre</w:t>
      </w:r>
      <w:r>
        <w:t xml:space="preserve"> of field is at 130</w:t>
      </w:r>
      <w:r>
        <w:rPr>
          <w:vertAlign w:val="superscript"/>
        </w:rPr>
        <w:t>o</w:t>
      </w:r>
      <w:r>
        <w:t>E/36</w:t>
      </w:r>
      <w:r>
        <w:rPr>
          <w:vertAlign w:val="superscript"/>
        </w:rPr>
        <w:t>o</w:t>
      </w:r>
      <w:r>
        <w:t>N, the sensor collects data over a 2500x2500km area (Ryu et al. 2012).  Based on the success of GOCI, a follow on mission, GOCI-II, is planned as part of the GEO-Kompsat 2B which expected to be launched in 2019.  GOCI-II will increase the spatial resolution to 250m, and collect data 10 times daily in 12 spectral bands (Table 3).  Additionally, the entire hemisphere will be observed once a day.</w:t>
      </w:r>
    </w:p>
    <w:p w:rsidR="00071B54" w:rsidRDefault="00071B54" w:rsidP="00071B54">
      <w:pPr>
        <w:pStyle w:val="Caption"/>
        <w:jc w:val="center"/>
      </w:pPr>
      <w:bookmarkStart w:id="24" w:name="_Toc460923900"/>
      <w:r>
        <w:t xml:space="preserve">Table </w:t>
      </w:r>
      <w:fldSimple w:instr=" SEQ Table \* ARABIC ">
        <w:r w:rsidR="00ED66C2">
          <w:rPr>
            <w:noProof/>
          </w:rPr>
          <w:t>3</w:t>
        </w:r>
      </w:fldSimple>
      <w:r w:rsidR="00910C60">
        <w:t>:</w:t>
      </w:r>
      <w:r>
        <w:t xml:space="preserve"> Comparison of GOCI and GOCI-II sensors (CGMS-44-KMA-WP-01)</w:t>
      </w:r>
      <w:r w:rsidR="00910C60">
        <w:t>.</w:t>
      </w:r>
      <w:bookmarkEnd w:id="24"/>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0" w:type="dxa"/>
          <w:right w:w="0" w:type="dxa"/>
        </w:tblCellMar>
        <w:tblLook w:val="04A0"/>
      </w:tblPr>
      <w:tblGrid>
        <w:gridCol w:w="3352"/>
        <w:gridCol w:w="2430"/>
        <w:gridCol w:w="2639"/>
      </w:tblGrid>
      <w:tr w:rsidR="00071B54" w:rsidRPr="00BE4AFE" w:rsidTr="00071B54">
        <w:trPr>
          <w:trHeight w:val="144"/>
          <w:jc w:val="center"/>
        </w:trPr>
        <w:tc>
          <w:tcPr>
            <w:tcW w:w="3352" w:type="dxa"/>
            <w:shd w:val="clear" w:color="auto" w:fill="000000" w:themeFill="text1"/>
            <w:tcMar>
              <w:top w:w="72" w:type="dxa"/>
              <w:left w:w="144" w:type="dxa"/>
              <w:bottom w:w="72" w:type="dxa"/>
              <w:right w:w="144" w:type="dxa"/>
            </w:tcMar>
            <w:vAlign w:val="center"/>
            <w:hideMark/>
          </w:tcPr>
          <w:p w:rsidR="00071B54" w:rsidRPr="00071B54" w:rsidRDefault="00071B54" w:rsidP="00071B54">
            <w:pPr>
              <w:spacing w:after="0"/>
              <w:rPr>
                <w:color w:val="FFFFFF" w:themeColor="background1"/>
                <w:szCs w:val="24"/>
              </w:rPr>
            </w:pPr>
            <w:r w:rsidRPr="00071B54">
              <w:rPr>
                <w:color w:val="FFFFFF" w:themeColor="background1"/>
                <w:szCs w:val="24"/>
              </w:rPr>
              <w:t xml:space="preserve">Items </w:t>
            </w:r>
          </w:p>
        </w:tc>
        <w:tc>
          <w:tcPr>
            <w:tcW w:w="2430" w:type="dxa"/>
            <w:shd w:val="clear" w:color="auto" w:fill="000000" w:themeFill="text1"/>
            <w:tcMar>
              <w:top w:w="72" w:type="dxa"/>
              <w:left w:w="144" w:type="dxa"/>
              <w:bottom w:w="72" w:type="dxa"/>
              <w:right w:w="144" w:type="dxa"/>
            </w:tcMar>
            <w:vAlign w:val="center"/>
            <w:hideMark/>
          </w:tcPr>
          <w:p w:rsidR="00071B54" w:rsidRPr="00071B54" w:rsidRDefault="00071B54" w:rsidP="00071B54">
            <w:pPr>
              <w:spacing w:after="0"/>
              <w:rPr>
                <w:color w:val="FFFFFF" w:themeColor="background1"/>
                <w:szCs w:val="24"/>
              </w:rPr>
            </w:pPr>
            <w:r w:rsidRPr="00071B54">
              <w:rPr>
                <w:color w:val="FFFFFF" w:themeColor="background1"/>
                <w:szCs w:val="24"/>
              </w:rPr>
              <w:t xml:space="preserve">GOCI Specs </w:t>
            </w:r>
          </w:p>
        </w:tc>
        <w:tc>
          <w:tcPr>
            <w:tcW w:w="2639" w:type="dxa"/>
            <w:shd w:val="clear" w:color="auto" w:fill="000000" w:themeFill="text1"/>
            <w:tcMar>
              <w:top w:w="72" w:type="dxa"/>
              <w:left w:w="144" w:type="dxa"/>
              <w:bottom w:w="72" w:type="dxa"/>
              <w:right w:w="144" w:type="dxa"/>
            </w:tcMar>
            <w:vAlign w:val="center"/>
            <w:hideMark/>
          </w:tcPr>
          <w:p w:rsidR="00071B54" w:rsidRPr="00071B54" w:rsidRDefault="00071B54" w:rsidP="00071B54">
            <w:pPr>
              <w:spacing w:after="0"/>
              <w:rPr>
                <w:color w:val="FFFFFF" w:themeColor="background1"/>
                <w:szCs w:val="24"/>
              </w:rPr>
            </w:pPr>
            <w:r w:rsidRPr="00071B54">
              <w:rPr>
                <w:bCs/>
                <w:color w:val="FFFFFF" w:themeColor="background1"/>
                <w:szCs w:val="24"/>
              </w:rPr>
              <w:t xml:space="preserve">GOCI-II Specs </w:t>
            </w:r>
          </w:p>
        </w:tc>
      </w:tr>
      <w:tr w:rsidR="00071B54" w:rsidRPr="00BE4AFE" w:rsidTr="00071B54">
        <w:trPr>
          <w:trHeight w:val="144"/>
          <w:jc w:val="center"/>
        </w:trPr>
        <w:tc>
          <w:tcPr>
            <w:tcW w:w="3352" w:type="dxa"/>
            <w:shd w:val="clear" w:color="auto" w:fill="D9D9D9"/>
            <w:tcMar>
              <w:top w:w="72" w:type="dxa"/>
              <w:left w:w="144" w:type="dxa"/>
              <w:bottom w:w="72" w:type="dxa"/>
              <w:right w:w="11" w:type="dxa"/>
            </w:tcMar>
            <w:vAlign w:val="center"/>
            <w:hideMark/>
          </w:tcPr>
          <w:p w:rsidR="00071B54" w:rsidRPr="00BE4AFE" w:rsidRDefault="00071B54" w:rsidP="00071B54">
            <w:pPr>
              <w:spacing w:after="0"/>
              <w:jc w:val="left"/>
              <w:rPr>
                <w:szCs w:val="24"/>
              </w:rPr>
            </w:pPr>
            <w:r w:rsidRPr="00BE4AFE">
              <w:rPr>
                <w:bCs/>
                <w:szCs w:val="24"/>
              </w:rPr>
              <w:t xml:space="preserve">Bus </w:t>
            </w:r>
          </w:p>
        </w:tc>
        <w:tc>
          <w:tcPr>
            <w:tcW w:w="2430" w:type="dxa"/>
            <w:shd w:val="clear" w:color="auto" w:fill="auto"/>
            <w:tcMar>
              <w:top w:w="72" w:type="dxa"/>
              <w:left w:w="144" w:type="dxa"/>
              <w:bottom w:w="72" w:type="dxa"/>
              <w:right w:w="144" w:type="dxa"/>
            </w:tcMar>
            <w:vAlign w:val="center"/>
            <w:hideMark/>
          </w:tcPr>
          <w:p w:rsidR="00071B54" w:rsidRPr="00BE4AFE" w:rsidRDefault="00071B54" w:rsidP="00071B54">
            <w:pPr>
              <w:spacing w:after="0"/>
              <w:jc w:val="left"/>
              <w:rPr>
                <w:szCs w:val="24"/>
              </w:rPr>
            </w:pPr>
            <w:r w:rsidRPr="00BE4AFE">
              <w:rPr>
                <w:szCs w:val="24"/>
              </w:rPr>
              <w:t xml:space="preserve">COMS </w:t>
            </w:r>
          </w:p>
        </w:tc>
        <w:tc>
          <w:tcPr>
            <w:tcW w:w="2639" w:type="dxa"/>
            <w:shd w:val="clear" w:color="auto" w:fill="auto"/>
            <w:tcMar>
              <w:top w:w="72" w:type="dxa"/>
              <w:left w:w="144" w:type="dxa"/>
              <w:bottom w:w="72" w:type="dxa"/>
            </w:tcMar>
            <w:vAlign w:val="center"/>
            <w:hideMark/>
          </w:tcPr>
          <w:p w:rsidR="00071B54" w:rsidRPr="00BE4AFE" w:rsidRDefault="00071B54" w:rsidP="00071B54">
            <w:pPr>
              <w:spacing w:after="0"/>
              <w:jc w:val="left"/>
              <w:rPr>
                <w:szCs w:val="24"/>
              </w:rPr>
            </w:pPr>
            <w:r w:rsidRPr="00BE4AFE">
              <w:rPr>
                <w:bCs/>
                <w:szCs w:val="24"/>
              </w:rPr>
              <w:t xml:space="preserve">GEO-KOMPSAT-2B </w:t>
            </w:r>
          </w:p>
        </w:tc>
      </w:tr>
      <w:tr w:rsidR="00071B54" w:rsidRPr="00BE4AFE" w:rsidTr="00071B54">
        <w:trPr>
          <w:trHeight w:val="144"/>
          <w:jc w:val="center"/>
        </w:trPr>
        <w:tc>
          <w:tcPr>
            <w:tcW w:w="3352" w:type="dxa"/>
            <w:shd w:val="clear" w:color="auto" w:fill="D9D9D9"/>
            <w:tcMar>
              <w:top w:w="72" w:type="dxa"/>
              <w:left w:w="144" w:type="dxa"/>
              <w:bottom w:w="72" w:type="dxa"/>
              <w:right w:w="11" w:type="dxa"/>
            </w:tcMar>
            <w:vAlign w:val="center"/>
            <w:hideMark/>
          </w:tcPr>
          <w:p w:rsidR="00071B54" w:rsidRPr="00BE4AFE" w:rsidRDefault="00071B54" w:rsidP="00071B54">
            <w:pPr>
              <w:spacing w:after="0"/>
              <w:jc w:val="left"/>
              <w:rPr>
                <w:szCs w:val="24"/>
              </w:rPr>
            </w:pPr>
            <w:r w:rsidRPr="00BE4AFE">
              <w:rPr>
                <w:bCs/>
                <w:szCs w:val="24"/>
              </w:rPr>
              <w:t>Increased</w:t>
            </w:r>
            <w:r w:rsidRPr="00BE4AFE">
              <w:rPr>
                <w:szCs w:val="24"/>
              </w:rPr>
              <w:t xml:space="preserve"> band number </w:t>
            </w:r>
          </w:p>
        </w:tc>
        <w:tc>
          <w:tcPr>
            <w:tcW w:w="2430" w:type="dxa"/>
            <w:shd w:val="clear" w:color="auto" w:fill="auto"/>
            <w:tcMar>
              <w:top w:w="72" w:type="dxa"/>
              <w:left w:w="144" w:type="dxa"/>
              <w:bottom w:w="72" w:type="dxa"/>
              <w:right w:w="144" w:type="dxa"/>
            </w:tcMar>
            <w:vAlign w:val="center"/>
            <w:hideMark/>
          </w:tcPr>
          <w:p w:rsidR="00071B54" w:rsidRPr="00BE4AFE" w:rsidRDefault="00071B54" w:rsidP="00071B54">
            <w:pPr>
              <w:spacing w:after="0"/>
              <w:jc w:val="left"/>
              <w:rPr>
                <w:szCs w:val="24"/>
              </w:rPr>
            </w:pPr>
            <w:r w:rsidRPr="00BE4AFE">
              <w:rPr>
                <w:szCs w:val="24"/>
              </w:rPr>
              <w:t>8 bands</w:t>
            </w:r>
            <w:r>
              <w:rPr>
                <w:szCs w:val="24"/>
              </w:rPr>
              <w:t xml:space="preserve"> </w:t>
            </w:r>
            <w:r w:rsidRPr="00BE4AFE">
              <w:rPr>
                <w:szCs w:val="24"/>
              </w:rPr>
              <w:t xml:space="preserve">(412~865 nm) </w:t>
            </w:r>
          </w:p>
        </w:tc>
        <w:tc>
          <w:tcPr>
            <w:tcW w:w="2639" w:type="dxa"/>
            <w:shd w:val="clear" w:color="auto" w:fill="auto"/>
            <w:tcMar>
              <w:top w:w="72" w:type="dxa"/>
              <w:left w:w="144" w:type="dxa"/>
              <w:bottom w:w="72" w:type="dxa"/>
            </w:tcMar>
            <w:vAlign w:val="center"/>
            <w:hideMark/>
          </w:tcPr>
          <w:p w:rsidR="00071B54" w:rsidRPr="00BE4AFE" w:rsidRDefault="00071B54" w:rsidP="00071B54">
            <w:pPr>
              <w:spacing w:after="0"/>
              <w:jc w:val="left"/>
              <w:rPr>
                <w:szCs w:val="24"/>
              </w:rPr>
            </w:pPr>
            <w:r w:rsidRPr="00BE4AFE">
              <w:rPr>
                <w:bCs/>
                <w:szCs w:val="24"/>
              </w:rPr>
              <w:t>12 bands (380 ~ 865nm)</w:t>
            </w:r>
          </w:p>
        </w:tc>
      </w:tr>
      <w:tr w:rsidR="00071B54" w:rsidRPr="00BE4AFE" w:rsidTr="00071B54">
        <w:trPr>
          <w:trHeight w:val="144"/>
          <w:jc w:val="center"/>
        </w:trPr>
        <w:tc>
          <w:tcPr>
            <w:tcW w:w="3352" w:type="dxa"/>
            <w:shd w:val="clear" w:color="auto" w:fill="D9D9D9"/>
            <w:tcMar>
              <w:top w:w="72" w:type="dxa"/>
              <w:left w:w="144" w:type="dxa"/>
              <w:bottom w:w="72" w:type="dxa"/>
              <w:right w:w="11" w:type="dxa"/>
            </w:tcMar>
            <w:vAlign w:val="center"/>
            <w:hideMark/>
          </w:tcPr>
          <w:p w:rsidR="00071B54" w:rsidRPr="00BE4AFE" w:rsidRDefault="00071B54" w:rsidP="00071B54">
            <w:pPr>
              <w:spacing w:after="0"/>
              <w:jc w:val="left"/>
              <w:rPr>
                <w:szCs w:val="24"/>
              </w:rPr>
            </w:pPr>
            <w:r w:rsidRPr="00BE4AFE">
              <w:rPr>
                <w:bCs/>
                <w:szCs w:val="24"/>
              </w:rPr>
              <w:t>Improved</w:t>
            </w:r>
            <w:r w:rsidRPr="00BE4AFE">
              <w:rPr>
                <w:szCs w:val="24"/>
              </w:rPr>
              <w:t xml:space="preserve"> spatial resolution </w:t>
            </w:r>
          </w:p>
        </w:tc>
        <w:tc>
          <w:tcPr>
            <w:tcW w:w="2430" w:type="dxa"/>
            <w:shd w:val="clear" w:color="auto" w:fill="auto"/>
            <w:tcMar>
              <w:top w:w="72" w:type="dxa"/>
              <w:left w:w="144" w:type="dxa"/>
              <w:bottom w:w="72" w:type="dxa"/>
              <w:right w:w="144" w:type="dxa"/>
            </w:tcMar>
            <w:vAlign w:val="center"/>
            <w:hideMark/>
          </w:tcPr>
          <w:p w:rsidR="00071B54" w:rsidRPr="00BE4AFE" w:rsidRDefault="00071B54" w:rsidP="00071B54">
            <w:pPr>
              <w:spacing w:after="0"/>
              <w:jc w:val="left"/>
              <w:rPr>
                <w:szCs w:val="24"/>
              </w:rPr>
            </w:pPr>
            <w:r w:rsidRPr="00BE4AFE">
              <w:rPr>
                <w:szCs w:val="24"/>
              </w:rPr>
              <w:t xml:space="preserve">500m </w:t>
            </w:r>
          </w:p>
        </w:tc>
        <w:tc>
          <w:tcPr>
            <w:tcW w:w="2639" w:type="dxa"/>
            <w:shd w:val="clear" w:color="auto" w:fill="auto"/>
            <w:tcMar>
              <w:top w:w="72" w:type="dxa"/>
              <w:left w:w="144" w:type="dxa"/>
              <w:bottom w:w="72" w:type="dxa"/>
            </w:tcMar>
            <w:vAlign w:val="center"/>
            <w:hideMark/>
          </w:tcPr>
          <w:p w:rsidR="00071B54" w:rsidRPr="00BE4AFE" w:rsidRDefault="00071B54" w:rsidP="00071B54">
            <w:pPr>
              <w:spacing w:after="0"/>
              <w:jc w:val="left"/>
              <w:rPr>
                <w:szCs w:val="24"/>
              </w:rPr>
            </w:pPr>
            <w:r w:rsidRPr="00BE4AFE">
              <w:rPr>
                <w:bCs/>
                <w:szCs w:val="24"/>
              </w:rPr>
              <w:t>250m</w:t>
            </w:r>
            <w:r>
              <w:rPr>
                <w:szCs w:val="24"/>
              </w:rPr>
              <w:t xml:space="preserve"> </w:t>
            </w:r>
            <w:r w:rsidRPr="00BE4AFE">
              <w:rPr>
                <w:bCs/>
                <w:szCs w:val="24"/>
              </w:rPr>
              <w:t xml:space="preserve">(at 130E, Eq) </w:t>
            </w:r>
          </w:p>
        </w:tc>
      </w:tr>
      <w:tr w:rsidR="00071B54" w:rsidRPr="00BE4AFE" w:rsidTr="00071B54">
        <w:trPr>
          <w:trHeight w:val="144"/>
          <w:jc w:val="center"/>
        </w:trPr>
        <w:tc>
          <w:tcPr>
            <w:tcW w:w="3352" w:type="dxa"/>
            <w:shd w:val="clear" w:color="auto" w:fill="D9D9D9"/>
            <w:tcMar>
              <w:top w:w="72" w:type="dxa"/>
              <w:left w:w="144" w:type="dxa"/>
              <w:bottom w:w="72" w:type="dxa"/>
              <w:right w:w="11" w:type="dxa"/>
            </w:tcMar>
            <w:vAlign w:val="center"/>
            <w:hideMark/>
          </w:tcPr>
          <w:p w:rsidR="00071B54" w:rsidRPr="00BE4AFE" w:rsidRDefault="00071B54" w:rsidP="00071B54">
            <w:pPr>
              <w:spacing w:after="0"/>
              <w:jc w:val="left"/>
              <w:rPr>
                <w:szCs w:val="24"/>
              </w:rPr>
            </w:pPr>
            <w:r w:rsidRPr="00BE4AFE">
              <w:rPr>
                <w:bCs/>
                <w:szCs w:val="24"/>
              </w:rPr>
              <w:t>More</w:t>
            </w:r>
            <w:r w:rsidRPr="00BE4AFE">
              <w:rPr>
                <w:szCs w:val="24"/>
              </w:rPr>
              <w:t xml:space="preserve"> observations </w:t>
            </w:r>
          </w:p>
        </w:tc>
        <w:tc>
          <w:tcPr>
            <w:tcW w:w="2430" w:type="dxa"/>
            <w:shd w:val="clear" w:color="auto" w:fill="auto"/>
            <w:tcMar>
              <w:top w:w="72" w:type="dxa"/>
              <w:left w:w="144" w:type="dxa"/>
              <w:bottom w:w="72" w:type="dxa"/>
              <w:right w:w="144" w:type="dxa"/>
            </w:tcMar>
            <w:vAlign w:val="center"/>
            <w:hideMark/>
          </w:tcPr>
          <w:p w:rsidR="00071B54" w:rsidRPr="00BE4AFE" w:rsidRDefault="00071B54" w:rsidP="00071B54">
            <w:pPr>
              <w:spacing w:after="0"/>
              <w:jc w:val="left"/>
              <w:rPr>
                <w:szCs w:val="24"/>
              </w:rPr>
            </w:pPr>
            <w:r w:rsidRPr="00BE4AFE">
              <w:rPr>
                <w:szCs w:val="24"/>
              </w:rPr>
              <w:t xml:space="preserve">8 times/day </w:t>
            </w:r>
          </w:p>
        </w:tc>
        <w:tc>
          <w:tcPr>
            <w:tcW w:w="2639" w:type="dxa"/>
            <w:shd w:val="clear" w:color="auto" w:fill="auto"/>
            <w:tcMar>
              <w:top w:w="72" w:type="dxa"/>
              <w:left w:w="144" w:type="dxa"/>
              <w:bottom w:w="72" w:type="dxa"/>
            </w:tcMar>
            <w:vAlign w:val="center"/>
            <w:hideMark/>
          </w:tcPr>
          <w:p w:rsidR="00071B54" w:rsidRPr="00BE4AFE" w:rsidRDefault="00071B54" w:rsidP="00071B54">
            <w:pPr>
              <w:spacing w:after="0"/>
              <w:jc w:val="left"/>
              <w:rPr>
                <w:szCs w:val="24"/>
              </w:rPr>
            </w:pPr>
            <w:r w:rsidRPr="00BE4AFE">
              <w:rPr>
                <w:bCs/>
                <w:szCs w:val="24"/>
              </w:rPr>
              <w:t xml:space="preserve">10 times/day </w:t>
            </w:r>
          </w:p>
        </w:tc>
      </w:tr>
      <w:tr w:rsidR="00071B54" w:rsidRPr="00BE4AFE" w:rsidTr="00071B54">
        <w:trPr>
          <w:trHeight w:val="144"/>
          <w:jc w:val="center"/>
        </w:trPr>
        <w:tc>
          <w:tcPr>
            <w:tcW w:w="3352" w:type="dxa"/>
            <w:shd w:val="clear" w:color="auto" w:fill="D9D9D9"/>
            <w:tcMar>
              <w:top w:w="72" w:type="dxa"/>
              <w:left w:w="144" w:type="dxa"/>
              <w:bottom w:w="72" w:type="dxa"/>
              <w:right w:w="11" w:type="dxa"/>
            </w:tcMar>
            <w:vAlign w:val="center"/>
            <w:hideMark/>
          </w:tcPr>
          <w:p w:rsidR="00071B54" w:rsidRPr="00BE4AFE" w:rsidRDefault="00071B54" w:rsidP="00071B54">
            <w:pPr>
              <w:spacing w:after="0"/>
              <w:jc w:val="left"/>
              <w:rPr>
                <w:szCs w:val="24"/>
              </w:rPr>
            </w:pPr>
            <w:r w:rsidRPr="00BE4AFE">
              <w:rPr>
                <w:bCs/>
                <w:szCs w:val="24"/>
              </w:rPr>
              <w:t xml:space="preserve">Pointable &amp; Full Disk </w:t>
            </w:r>
            <w:r w:rsidRPr="00BE4AFE">
              <w:rPr>
                <w:szCs w:val="24"/>
              </w:rPr>
              <w:t xml:space="preserve">coverage </w:t>
            </w:r>
          </w:p>
        </w:tc>
        <w:tc>
          <w:tcPr>
            <w:tcW w:w="2430" w:type="dxa"/>
            <w:shd w:val="clear" w:color="auto" w:fill="auto"/>
            <w:tcMar>
              <w:top w:w="72" w:type="dxa"/>
              <w:left w:w="144" w:type="dxa"/>
              <w:bottom w:w="72" w:type="dxa"/>
              <w:right w:w="144" w:type="dxa"/>
            </w:tcMar>
            <w:vAlign w:val="center"/>
            <w:hideMark/>
          </w:tcPr>
          <w:p w:rsidR="00071B54" w:rsidRPr="00BE4AFE" w:rsidRDefault="00071B54" w:rsidP="00071B54">
            <w:pPr>
              <w:spacing w:after="0"/>
              <w:jc w:val="left"/>
              <w:rPr>
                <w:szCs w:val="24"/>
              </w:rPr>
            </w:pPr>
            <w:r w:rsidRPr="00BE4AFE">
              <w:rPr>
                <w:szCs w:val="24"/>
              </w:rPr>
              <w:t>Local Area</w:t>
            </w:r>
          </w:p>
        </w:tc>
        <w:tc>
          <w:tcPr>
            <w:tcW w:w="2639" w:type="dxa"/>
            <w:shd w:val="clear" w:color="auto" w:fill="auto"/>
            <w:tcMar>
              <w:top w:w="72" w:type="dxa"/>
              <w:left w:w="144" w:type="dxa"/>
              <w:bottom w:w="72" w:type="dxa"/>
            </w:tcMar>
            <w:vAlign w:val="center"/>
            <w:hideMark/>
          </w:tcPr>
          <w:p w:rsidR="00071B54" w:rsidRPr="00BE4AFE" w:rsidRDefault="00071B54" w:rsidP="00071B54">
            <w:pPr>
              <w:spacing w:after="0"/>
              <w:jc w:val="left"/>
              <w:rPr>
                <w:szCs w:val="24"/>
              </w:rPr>
            </w:pPr>
            <w:r w:rsidRPr="00BE4AFE">
              <w:rPr>
                <w:bCs/>
                <w:szCs w:val="24"/>
              </w:rPr>
              <w:t xml:space="preserve">Local Area + Full Disk </w:t>
            </w:r>
          </w:p>
        </w:tc>
      </w:tr>
    </w:tbl>
    <w:p w:rsidR="00377944" w:rsidRDefault="00377944" w:rsidP="00377944"/>
    <w:p w:rsidR="00071B54" w:rsidRDefault="00071B54" w:rsidP="00071B54">
      <w:r>
        <w:t>The GEOstaionary Coastal Air Pollution Events (GEO-CAPE)</w:t>
      </w:r>
      <w:r w:rsidRPr="00AE1A9D">
        <w:t xml:space="preserve"> geostationary mission led by NASA to host GEO-CAPE instruments on separate spacecrafts</w:t>
      </w:r>
      <w:r>
        <w:t xml:space="preserve"> in response to recommendations made by National Research Council’s 2007 Earth Science Decadal Survey</w:t>
      </w:r>
      <w:r w:rsidRPr="00AE1A9D">
        <w:t>.  Based on the results of instrument design efforts, science studies, and field campaigns, the Science Traceability Matrix was most recently revised in July 2015 (</w:t>
      </w:r>
      <w:hyperlink r:id="rId33" w:history="1">
        <w:r w:rsidRPr="00AE1A9D">
          <w:rPr>
            <w:rStyle w:val="Hyperlink"/>
          </w:rPr>
          <w:t>http://geo-cape.larc.nasa.gov/docs/OceanSTMv4_7_30July2015.pdf</w:t>
        </w:r>
      </w:hyperlink>
      <w:r>
        <w:t xml:space="preserve">). </w:t>
      </w:r>
      <w:r w:rsidRPr="00AE1A9D">
        <w:t>The goals are to design a system that can make hyperspectral measurements i</w:t>
      </w:r>
      <w:r w:rsidR="00910C60">
        <w:t>n the UV-VIS-NIR region from a g</w:t>
      </w:r>
      <w:r w:rsidRPr="00AE1A9D">
        <w:t>eostationary location at 94</w:t>
      </w:r>
      <w:r w:rsidRPr="00AE1A9D">
        <w:rPr>
          <w:vertAlign w:val="superscript"/>
        </w:rPr>
        <w:t>o</w:t>
      </w:r>
      <w:r w:rsidRPr="00AE1A9D">
        <w:t>±2</w:t>
      </w:r>
      <w:r w:rsidRPr="00AE1A9D">
        <w:rPr>
          <w:vertAlign w:val="superscript"/>
        </w:rPr>
        <w:t>o</w:t>
      </w:r>
      <w:r w:rsidRPr="00AE1A9D">
        <w:t xml:space="preserve"> W longitude at a threshold value of ≤2 hours, with the baseline requirement remaining at ≤1 hour.   The Coastal Ocean </w:t>
      </w:r>
      <w:r w:rsidR="00177A91" w:rsidRPr="00AE1A9D">
        <w:t>Colour</w:t>
      </w:r>
      <w:r w:rsidRPr="00AE1A9D">
        <w:t xml:space="preserve"> Science Working Group (OSWG) identified that the spatial resolution should be  ≤ 375 x 375 m, with a baseline (goal) resolution of ≤ 250 x 250 m.</w:t>
      </w:r>
      <w:r>
        <w:t xml:space="preserve"> It is envisioned that the GEO-CAPE sensors would be in orbit in the 2020 time frame.</w:t>
      </w:r>
    </w:p>
    <w:p w:rsidR="00071B54" w:rsidRPr="00377944" w:rsidRDefault="00071B54" w:rsidP="00377944"/>
    <w:p w:rsidR="00747E63" w:rsidRPr="001D36DC" w:rsidRDefault="00C34D40" w:rsidP="00747E63">
      <w:pPr>
        <w:pStyle w:val="Heading1"/>
      </w:pPr>
      <w:bookmarkStart w:id="25" w:name="_Toc460923836"/>
      <w:r>
        <w:t>Potential non-meteorological applications of new generation systems</w:t>
      </w:r>
      <w:bookmarkEnd w:id="25"/>
    </w:p>
    <w:p w:rsidR="00803091" w:rsidRDefault="00C32C22" w:rsidP="00747E63">
      <w:pPr>
        <w:pStyle w:val="Heading2"/>
      </w:pPr>
      <w:r>
        <w:t xml:space="preserve"> </w:t>
      </w:r>
      <w:bookmarkStart w:id="26" w:name="_Toc460923837"/>
      <w:r w:rsidR="00803091">
        <w:t>Introduction</w:t>
      </w:r>
      <w:bookmarkEnd w:id="26"/>
    </w:p>
    <w:p w:rsidR="000C32C0" w:rsidRPr="00996A79" w:rsidRDefault="000C32C0" w:rsidP="000C32C0">
      <w:pPr>
        <w:rPr>
          <w:lang w:val="en-GB"/>
        </w:rPr>
      </w:pPr>
      <w:r w:rsidRPr="00996A79">
        <w:rPr>
          <w:lang w:val="en-GB"/>
        </w:rPr>
        <w:t xml:space="preserve">The generation of non-meteorological </w:t>
      </w:r>
      <w:r>
        <w:rPr>
          <w:lang w:val="en-GB"/>
        </w:rPr>
        <w:t xml:space="preserve">application (NMA) </w:t>
      </w:r>
      <w:r w:rsidRPr="00996A79">
        <w:rPr>
          <w:lang w:val="en-GB"/>
        </w:rPr>
        <w:t>products using satellite data has been established since more than forty years and has primarily been based on data from instruments on polar orbiting satellites like AVHRR (Advanced Very High Resolution Radiometer) and MODIS (Moderate Resolution Imaging Spectroradiometer), b</w:t>
      </w:r>
      <w:r>
        <w:rPr>
          <w:lang w:val="en-GB"/>
        </w:rPr>
        <w:t>ut also from satellites like SPO</w:t>
      </w:r>
      <w:r w:rsidRPr="00996A79">
        <w:rPr>
          <w:lang w:val="en-GB"/>
        </w:rPr>
        <w:t xml:space="preserve">T and Landsat. </w:t>
      </w:r>
      <w:r w:rsidRPr="00996A79">
        <w:t xml:space="preserve">The impetus of this study is the improved capabilities of the new generation meteorological satellite imagers that now in terms of spectral coverage and resolution as well as spatial resolution </w:t>
      </w:r>
      <w:r>
        <w:t>are</w:t>
      </w:r>
      <w:r w:rsidRPr="00996A79">
        <w:t xml:space="preserve"> significantly improving and approaching those that are provided by medium-resolution imagers onboard polar orbiting satellites, like MODIS on Aqua and Terra. </w:t>
      </w:r>
    </w:p>
    <w:p w:rsidR="00803091" w:rsidRPr="006E78B2" w:rsidRDefault="006E78B2" w:rsidP="006E78B2">
      <w:pPr>
        <w:rPr>
          <w:rFonts w:eastAsia="Times New Roman"/>
          <w:lang w:val="en-GB" w:eastAsia="en-GB"/>
        </w:rPr>
      </w:pPr>
      <w:r>
        <w:t>It</w:t>
      </w:r>
      <w:r w:rsidRPr="00996A79">
        <w:t xml:space="preserve"> is not surprising that most, if not all non-meteorological application products that can be derived from geostationary imagery data </w:t>
      </w:r>
      <w:r>
        <w:t>are already today</w:t>
      </w:r>
      <w:r w:rsidRPr="00996A79">
        <w:t xml:space="preserve"> derived with corresponding data from polar orbiting satellites. </w:t>
      </w:r>
      <w:r w:rsidRPr="00996A79">
        <w:rPr>
          <w:lang w:val="en-GB"/>
        </w:rPr>
        <w:t>The instruments on the meteorological polar orbiters can provide global coverage on a daily basis, the higher resolution imagers like Landsat with a signifi</w:t>
      </w:r>
      <w:r>
        <w:rPr>
          <w:lang w:val="en-GB"/>
        </w:rPr>
        <w:t>cantly lower repeat cycle. W</w:t>
      </w:r>
      <w:r w:rsidRPr="00996A79">
        <w:rPr>
          <w:lang w:val="en-GB"/>
        </w:rPr>
        <w:t>hilst these instruments have a higher resolution than currently available or foreseen from geostationary orbit, they face a challenge of achieving global cloud-free image data due to the frequent presence of clouds. The local overpass times of these sensors often coincide with the periods of m</w:t>
      </w:r>
      <w:r>
        <w:rPr>
          <w:lang w:val="en-GB"/>
        </w:rPr>
        <w:t>aximum cloud built up and cover</w:t>
      </w:r>
      <w:r w:rsidRPr="00996A79">
        <w:rPr>
          <w:lang w:val="en-GB"/>
        </w:rPr>
        <w:t xml:space="preserve">age. As a consequence, most single day </w:t>
      </w:r>
      <w:r>
        <w:rPr>
          <w:lang w:val="en-GB"/>
        </w:rPr>
        <w:t xml:space="preserve">data </w:t>
      </w:r>
      <w:r w:rsidRPr="00996A79">
        <w:rPr>
          <w:lang w:val="en-GB"/>
        </w:rPr>
        <w:t xml:space="preserve">coverage </w:t>
      </w:r>
      <w:r>
        <w:rPr>
          <w:lang w:val="en-GB"/>
        </w:rPr>
        <w:t xml:space="preserve">from polar orbiting satellites </w:t>
      </w:r>
      <w:r w:rsidRPr="00996A79">
        <w:rPr>
          <w:lang w:val="en-GB"/>
        </w:rPr>
        <w:t>are cloud contaminated and cloud-free data can only be achieved using data compositing methods over weeks to months.</w:t>
      </w:r>
      <w:r>
        <w:rPr>
          <w:lang w:val="en-GB"/>
        </w:rPr>
        <w:t xml:space="preserve"> </w:t>
      </w:r>
      <w:r w:rsidRPr="00996A79">
        <w:t xml:space="preserve">The main advantages for the geostationary imagers are that they provide a significantly higher temporal resolution with fixed viewing geometry. </w:t>
      </w:r>
      <w:r>
        <w:t>T</w:t>
      </w:r>
      <w:r w:rsidRPr="00996A79">
        <w:t xml:space="preserve">he high temporal frequency of observations provide a higher probability of cloud free observations, a prerequisite for most NMA applications as well as the potential to use the information from time-series of data to discriminate rapidly changing phenomenon from static features like dust storms over desert areas. </w:t>
      </w:r>
      <w:r>
        <w:t>The high temporal frequency also</w:t>
      </w:r>
      <w:r w:rsidRPr="00996A79">
        <w:t xml:space="preserve"> enables </w:t>
      </w:r>
      <w:r>
        <w:t xml:space="preserve">early </w:t>
      </w:r>
      <w:r w:rsidRPr="00996A79">
        <w:t xml:space="preserve">detection and characterization of diurnal variation of rapidly changing phenomenon like wildfires, volcanic ash, flash floods and </w:t>
      </w:r>
      <w:r>
        <w:t xml:space="preserve">coastal upwelling. </w:t>
      </w:r>
      <w:r w:rsidRPr="00996A79">
        <w:t xml:space="preserve">In addition it is only with geostationary data that some specific scientific issues related to the diurnal cycle and irregular variations for instance on the variability of </w:t>
      </w:r>
      <w:r>
        <w:t>greenhouse gases, vegetation and</w:t>
      </w:r>
      <w:r w:rsidRPr="00996A79">
        <w:t xml:space="preserve"> sea surface temperature can be addressed</w:t>
      </w:r>
      <w:r w:rsidR="00803091" w:rsidRPr="00996A79">
        <w:t xml:space="preserve">. </w:t>
      </w:r>
    </w:p>
    <w:p w:rsidR="00803091" w:rsidRDefault="00803091" w:rsidP="00803091">
      <w:r w:rsidRPr="00996A79">
        <w:t xml:space="preserve">This section gives an overview of geophysical parameters and products that can be derived with the capabilities of the new </w:t>
      </w:r>
      <w:r w:rsidR="008A5186">
        <w:t xml:space="preserve">meteorological </w:t>
      </w:r>
      <w:r w:rsidRPr="00996A79">
        <w:t>geostationary satellite imagers,</w:t>
      </w:r>
      <w:r w:rsidR="006E78B2">
        <w:t xml:space="preserve"> </w:t>
      </w:r>
      <w:r w:rsidRPr="00996A79">
        <w:t>which are not seen as meteorolo</w:t>
      </w:r>
      <w:r>
        <w:t>gical product. For clarity the</w:t>
      </w:r>
      <w:r w:rsidRPr="00996A79">
        <w:t xml:space="preserve"> meteorological products and the associated parameters are briefly introduced in </w:t>
      </w:r>
      <w:r w:rsidR="00E27A82">
        <w:fldChar w:fldCharType="begin"/>
      </w:r>
      <w:r w:rsidR="00C53C9A">
        <w:instrText xml:space="preserve"> REF _Ref459133445 \h </w:instrText>
      </w:r>
      <w:r w:rsidR="00E27A82">
        <w:fldChar w:fldCharType="separate"/>
      </w:r>
      <w:r w:rsidR="00ED66C2">
        <w:t xml:space="preserve">Table </w:t>
      </w:r>
      <w:r w:rsidR="00ED66C2">
        <w:rPr>
          <w:noProof/>
        </w:rPr>
        <w:t>4</w:t>
      </w:r>
      <w:r w:rsidR="00E27A82">
        <w:fldChar w:fldCharType="end"/>
      </w:r>
      <w:r w:rsidRPr="00996A79">
        <w:t>.</w:t>
      </w:r>
    </w:p>
    <w:p w:rsidR="00C53C9A" w:rsidRDefault="00C53C9A" w:rsidP="00C53C9A">
      <w:pPr>
        <w:pStyle w:val="Caption"/>
        <w:jc w:val="center"/>
      </w:pPr>
      <w:bookmarkStart w:id="27" w:name="_Ref459133445"/>
      <w:bookmarkStart w:id="28" w:name="_Toc460923901"/>
      <w:r>
        <w:t xml:space="preserve">Table </w:t>
      </w:r>
      <w:fldSimple w:instr=" SEQ Table \* ARABIC ">
        <w:r w:rsidR="00ED66C2">
          <w:rPr>
            <w:noProof/>
          </w:rPr>
          <w:t>4</w:t>
        </w:r>
      </w:fldSimple>
      <w:bookmarkEnd w:id="27"/>
      <w:r w:rsidR="00D95643">
        <w:t>:</w:t>
      </w:r>
      <w:r>
        <w:t xml:space="preserve"> Basic meteorological products</w:t>
      </w:r>
      <w:r w:rsidR="00D95643">
        <w:t>.</w:t>
      </w:r>
      <w:bookmarkEnd w:id="28"/>
    </w:p>
    <w:tbl>
      <w:tblPr>
        <w:tblStyle w:val="TableGrid"/>
        <w:tblpPr w:leftFromText="180" w:rightFromText="180" w:vertAnchor="text" w:horzAnchor="margin" w:tblpXSpec="center" w:tblpY="47"/>
        <w:tblW w:w="0" w:type="auto"/>
        <w:tblLook w:val="04A0"/>
      </w:tblPr>
      <w:tblGrid>
        <w:gridCol w:w="3256"/>
        <w:gridCol w:w="3265"/>
        <w:gridCol w:w="3085"/>
      </w:tblGrid>
      <w:tr w:rsidR="00803091" w:rsidRPr="00C53C9A" w:rsidTr="00C53C9A">
        <w:tc>
          <w:tcPr>
            <w:tcW w:w="3256" w:type="dxa"/>
          </w:tcPr>
          <w:p w:rsidR="00803091" w:rsidRPr="00C53C9A" w:rsidRDefault="00803091" w:rsidP="00C53C9A">
            <w:pPr>
              <w:rPr>
                <w:sz w:val="20"/>
                <w:szCs w:val="20"/>
              </w:rPr>
            </w:pPr>
            <w:r w:rsidRPr="00C53C9A">
              <w:rPr>
                <w:sz w:val="20"/>
                <w:szCs w:val="20"/>
              </w:rPr>
              <w:t>Clouds</w:t>
            </w:r>
          </w:p>
        </w:tc>
        <w:tc>
          <w:tcPr>
            <w:tcW w:w="3265" w:type="dxa"/>
          </w:tcPr>
          <w:p w:rsidR="00803091" w:rsidRPr="00C53C9A" w:rsidRDefault="00803091" w:rsidP="00C53C9A">
            <w:pPr>
              <w:rPr>
                <w:sz w:val="20"/>
                <w:szCs w:val="20"/>
              </w:rPr>
            </w:pPr>
            <w:r w:rsidRPr="00C53C9A">
              <w:rPr>
                <w:sz w:val="20"/>
                <w:szCs w:val="20"/>
              </w:rPr>
              <w:t>Cover, pressure, phase, optical properties, growth rate, temperature, particle size distribution</w:t>
            </w:r>
          </w:p>
        </w:tc>
        <w:tc>
          <w:tcPr>
            <w:tcW w:w="3085" w:type="dxa"/>
          </w:tcPr>
          <w:p w:rsidR="00803091" w:rsidRPr="00C53C9A" w:rsidRDefault="00803091" w:rsidP="00C53C9A">
            <w:pPr>
              <w:rPr>
                <w:sz w:val="20"/>
                <w:szCs w:val="20"/>
              </w:rPr>
            </w:pPr>
            <w:r w:rsidRPr="00C53C9A">
              <w:rPr>
                <w:sz w:val="20"/>
                <w:szCs w:val="20"/>
              </w:rPr>
              <w:t>This, in particular cloud cover, is a critical prerequisite for most other applications including NMA</w:t>
            </w:r>
          </w:p>
        </w:tc>
      </w:tr>
      <w:tr w:rsidR="00803091" w:rsidRPr="00C53C9A" w:rsidTr="00C53C9A">
        <w:tc>
          <w:tcPr>
            <w:tcW w:w="3256" w:type="dxa"/>
          </w:tcPr>
          <w:p w:rsidR="00803091" w:rsidRPr="00C53C9A" w:rsidRDefault="00803091" w:rsidP="00C53C9A">
            <w:pPr>
              <w:rPr>
                <w:sz w:val="20"/>
                <w:szCs w:val="20"/>
              </w:rPr>
            </w:pPr>
            <w:r w:rsidRPr="00C53C9A">
              <w:rPr>
                <w:sz w:val="20"/>
                <w:szCs w:val="20"/>
              </w:rPr>
              <w:t>Atmospheric Motion Vectors</w:t>
            </w:r>
          </w:p>
        </w:tc>
        <w:tc>
          <w:tcPr>
            <w:tcW w:w="3265" w:type="dxa"/>
          </w:tcPr>
          <w:p w:rsidR="00803091" w:rsidRPr="00C53C9A" w:rsidRDefault="00803091" w:rsidP="00C53C9A">
            <w:pPr>
              <w:rPr>
                <w:sz w:val="20"/>
                <w:szCs w:val="20"/>
              </w:rPr>
            </w:pPr>
            <w:r w:rsidRPr="00C53C9A">
              <w:rPr>
                <w:sz w:val="20"/>
                <w:szCs w:val="20"/>
              </w:rPr>
              <w:t>Speed, direction, height/pressure</w:t>
            </w:r>
          </w:p>
        </w:tc>
        <w:tc>
          <w:tcPr>
            <w:tcW w:w="3085" w:type="dxa"/>
          </w:tcPr>
          <w:p w:rsidR="00803091" w:rsidRPr="00C53C9A" w:rsidRDefault="00803091" w:rsidP="00C53C9A">
            <w:pPr>
              <w:rPr>
                <w:sz w:val="20"/>
                <w:szCs w:val="20"/>
              </w:rPr>
            </w:pPr>
          </w:p>
        </w:tc>
      </w:tr>
      <w:tr w:rsidR="00803091" w:rsidRPr="00C53C9A" w:rsidTr="00C53C9A">
        <w:tc>
          <w:tcPr>
            <w:tcW w:w="3256" w:type="dxa"/>
          </w:tcPr>
          <w:p w:rsidR="00803091" w:rsidRPr="00C53C9A" w:rsidRDefault="00803091" w:rsidP="00C53C9A">
            <w:pPr>
              <w:rPr>
                <w:sz w:val="20"/>
                <w:szCs w:val="20"/>
              </w:rPr>
            </w:pPr>
            <w:r w:rsidRPr="00C53C9A">
              <w:rPr>
                <w:sz w:val="20"/>
                <w:szCs w:val="20"/>
              </w:rPr>
              <w:t>Temperature and humidity</w:t>
            </w:r>
          </w:p>
        </w:tc>
        <w:tc>
          <w:tcPr>
            <w:tcW w:w="3265" w:type="dxa"/>
          </w:tcPr>
          <w:p w:rsidR="00803091" w:rsidRPr="00C53C9A" w:rsidRDefault="00803091" w:rsidP="00C53C9A">
            <w:pPr>
              <w:rPr>
                <w:sz w:val="20"/>
                <w:szCs w:val="20"/>
              </w:rPr>
            </w:pPr>
            <w:r w:rsidRPr="00C53C9A">
              <w:rPr>
                <w:sz w:val="20"/>
                <w:szCs w:val="20"/>
              </w:rPr>
              <w:t>Atmospheric temperature and humidity at various levels, Total Precipitable Water</w:t>
            </w:r>
          </w:p>
        </w:tc>
        <w:tc>
          <w:tcPr>
            <w:tcW w:w="3085" w:type="dxa"/>
          </w:tcPr>
          <w:p w:rsidR="00803091" w:rsidRPr="00C53C9A" w:rsidRDefault="00803091" w:rsidP="00C53C9A">
            <w:pPr>
              <w:rPr>
                <w:sz w:val="20"/>
                <w:szCs w:val="20"/>
              </w:rPr>
            </w:pPr>
          </w:p>
        </w:tc>
      </w:tr>
      <w:tr w:rsidR="00803091" w:rsidRPr="00C53C9A" w:rsidTr="00C53C9A">
        <w:tc>
          <w:tcPr>
            <w:tcW w:w="3256" w:type="dxa"/>
          </w:tcPr>
          <w:p w:rsidR="00803091" w:rsidRPr="00C53C9A" w:rsidRDefault="00803091" w:rsidP="00C53C9A">
            <w:pPr>
              <w:rPr>
                <w:sz w:val="20"/>
                <w:szCs w:val="20"/>
              </w:rPr>
            </w:pPr>
            <w:r w:rsidRPr="00C53C9A">
              <w:rPr>
                <w:sz w:val="20"/>
                <w:szCs w:val="20"/>
              </w:rPr>
              <w:t>Atmospheric instability</w:t>
            </w:r>
          </w:p>
        </w:tc>
        <w:tc>
          <w:tcPr>
            <w:tcW w:w="3265" w:type="dxa"/>
          </w:tcPr>
          <w:p w:rsidR="00803091" w:rsidRPr="00C53C9A" w:rsidRDefault="00803091" w:rsidP="00C53C9A">
            <w:pPr>
              <w:rPr>
                <w:sz w:val="20"/>
                <w:szCs w:val="20"/>
              </w:rPr>
            </w:pPr>
            <w:r w:rsidRPr="00C53C9A">
              <w:rPr>
                <w:sz w:val="20"/>
                <w:szCs w:val="20"/>
              </w:rPr>
              <w:t>Various instability indexes</w:t>
            </w:r>
          </w:p>
        </w:tc>
        <w:tc>
          <w:tcPr>
            <w:tcW w:w="3085" w:type="dxa"/>
          </w:tcPr>
          <w:p w:rsidR="00803091" w:rsidRPr="00C53C9A" w:rsidRDefault="00803091" w:rsidP="00C53C9A">
            <w:pPr>
              <w:rPr>
                <w:sz w:val="20"/>
                <w:szCs w:val="20"/>
              </w:rPr>
            </w:pPr>
          </w:p>
        </w:tc>
      </w:tr>
      <w:tr w:rsidR="00803091" w:rsidRPr="00C53C9A" w:rsidTr="00C53C9A">
        <w:tc>
          <w:tcPr>
            <w:tcW w:w="3256" w:type="dxa"/>
          </w:tcPr>
          <w:p w:rsidR="00803091" w:rsidRPr="00C53C9A" w:rsidRDefault="00803091" w:rsidP="00C53C9A">
            <w:pPr>
              <w:rPr>
                <w:sz w:val="20"/>
                <w:szCs w:val="20"/>
              </w:rPr>
            </w:pPr>
            <w:r w:rsidRPr="00C53C9A">
              <w:rPr>
                <w:sz w:val="20"/>
                <w:szCs w:val="20"/>
              </w:rPr>
              <w:t>Precipitation</w:t>
            </w:r>
          </w:p>
        </w:tc>
        <w:tc>
          <w:tcPr>
            <w:tcW w:w="3265" w:type="dxa"/>
          </w:tcPr>
          <w:p w:rsidR="00803091" w:rsidRPr="00C53C9A" w:rsidRDefault="00803091" w:rsidP="00C53C9A">
            <w:pPr>
              <w:rPr>
                <w:sz w:val="20"/>
                <w:szCs w:val="20"/>
              </w:rPr>
            </w:pPr>
            <w:r w:rsidRPr="00C53C9A">
              <w:rPr>
                <w:sz w:val="20"/>
                <w:szCs w:val="20"/>
              </w:rPr>
              <w:t>Rate, QPE, extent</w:t>
            </w:r>
          </w:p>
        </w:tc>
        <w:tc>
          <w:tcPr>
            <w:tcW w:w="3085" w:type="dxa"/>
          </w:tcPr>
          <w:p w:rsidR="00803091" w:rsidRPr="00C53C9A" w:rsidRDefault="00803091" w:rsidP="00C53C9A">
            <w:pPr>
              <w:rPr>
                <w:sz w:val="20"/>
                <w:szCs w:val="20"/>
              </w:rPr>
            </w:pPr>
          </w:p>
        </w:tc>
      </w:tr>
      <w:tr w:rsidR="00803091" w:rsidRPr="00C53C9A" w:rsidTr="00C53C9A">
        <w:tc>
          <w:tcPr>
            <w:tcW w:w="3256" w:type="dxa"/>
            <w:vMerge w:val="restart"/>
          </w:tcPr>
          <w:p w:rsidR="00803091" w:rsidRPr="00C53C9A" w:rsidRDefault="00803091" w:rsidP="00C53C9A">
            <w:pPr>
              <w:rPr>
                <w:sz w:val="20"/>
                <w:szCs w:val="20"/>
              </w:rPr>
            </w:pPr>
            <w:r w:rsidRPr="00C53C9A">
              <w:rPr>
                <w:sz w:val="20"/>
                <w:szCs w:val="20"/>
              </w:rPr>
              <w:t>Radiation</w:t>
            </w:r>
          </w:p>
        </w:tc>
        <w:tc>
          <w:tcPr>
            <w:tcW w:w="3265" w:type="dxa"/>
          </w:tcPr>
          <w:p w:rsidR="00803091" w:rsidRPr="00C53C9A" w:rsidRDefault="00803091" w:rsidP="00C53C9A">
            <w:pPr>
              <w:rPr>
                <w:sz w:val="20"/>
                <w:szCs w:val="20"/>
              </w:rPr>
            </w:pPr>
            <w:r w:rsidRPr="00C53C9A">
              <w:rPr>
                <w:sz w:val="20"/>
                <w:szCs w:val="20"/>
              </w:rPr>
              <w:t>OLR, solar, Downward SFC SW, reflected TOA SW, Absorbed SFC SW, upward TOA LW, Downward SFC LW, Upward SSFC LW, flux</w:t>
            </w:r>
          </w:p>
        </w:tc>
        <w:tc>
          <w:tcPr>
            <w:tcW w:w="3085" w:type="dxa"/>
          </w:tcPr>
          <w:p w:rsidR="00803091" w:rsidRPr="00C53C9A" w:rsidRDefault="00803091" w:rsidP="00C53C9A">
            <w:pPr>
              <w:rPr>
                <w:sz w:val="20"/>
                <w:szCs w:val="20"/>
              </w:rPr>
            </w:pPr>
          </w:p>
        </w:tc>
      </w:tr>
      <w:tr w:rsidR="00803091" w:rsidRPr="00C53C9A" w:rsidTr="00C53C9A">
        <w:tc>
          <w:tcPr>
            <w:tcW w:w="3256" w:type="dxa"/>
            <w:vMerge/>
          </w:tcPr>
          <w:p w:rsidR="00803091" w:rsidRPr="00C53C9A" w:rsidRDefault="00803091" w:rsidP="00C53C9A">
            <w:pPr>
              <w:rPr>
                <w:sz w:val="20"/>
                <w:szCs w:val="20"/>
              </w:rPr>
            </w:pPr>
          </w:p>
        </w:tc>
        <w:tc>
          <w:tcPr>
            <w:tcW w:w="3265" w:type="dxa"/>
          </w:tcPr>
          <w:p w:rsidR="00803091" w:rsidRPr="00C53C9A" w:rsidRDefault="00803091" w:rsidP="00C53C9A">
            <w:pPr>
              <w:rPr>
                <w:sz w:val="20"/>
                <w:szCs w:val="20"/>
              </w:rPr>
            </w:pPr>
            <w:r w:rsidRPr="00C53C9A">
              <w:rPr>
                <w:sz w:val="20"/>
                <w:szCs w:val="20"/>
              </w:rPr>
              <w:t>emissivity</w:t>
            </w:r>
          </w:p>
        </w:tc>
        <w:tc>
          <w:tcPr>
            <w:tcW w:w="3085" w:type="dxa"/>
          </w:tcPr>
          <w:p w:rsidR="00803091" w:rsidRPr="00C53C9A" w:rsidRDefault="00803091" w:rsidP="00C53C9A">
            <w:pPr>
              <w:rPr>
                <w:sz w:val="20"/>
                <w:szCs w:val="20"/>
              </w:rPr>
            </w:pPr>
          </w:p>
        </w:tc>
      </w:tr>
      <w:tr w:rsidR="00803091" w:rsidRPr="00C53C9A" w:rsidTr="00C53C9A">
        <w:tc>
          <w:tcPr>
            <w:tcW w:w="3256" w:type="dxa"/>
          </w:tcPr>
          <w:p w:rsidR="00803091" w:rsidRPr="00C53C9A" w:rsidRDefault="00803091" w:rsidP="00C53C9A">
            <w:pPr>
              <w:rPr>
                <w:sz w:val="20"/>
                <w:szCs w:val="20"/>
              </w:rPr>
            </w:pPr>
            <w:r w:rsidRPr="00C53C9A">
              <w:rPr>
                <w:sz w:val="20"/>
                <w:szCs w:val="20"/>
              </w:rPr>
              <w:t>Tropopause folding</w:t>
            </w:r>
          </w:p>
        </w:tc>
        <w:tc>
          <w:tcPr>
            <w:tcW w:w="3265" w:type="dxa"/>
          </w:tcPr>
          <w:p w:rsidR="00803091" w:rsidRPr="00C53C9A" w:rsidRDefault="00803091" w:rsidP="00C53C9A">
            <w:pPr>
              <w:rPr>
                <w:sz w:val="20"/>
                <w:szCs w:val="20"/>
              </w:rPr>
            </w:pPr>
          </w:p>
        </w:tc>
        <w:tc>
          <w:tcPr>
            <w:tcW w:w="3085" w:type="dxa"/>
          </w:tcPr>
          <w:p w:rsidR="00803091" w:rsidRPr="00C53C9A" w:rsidRDefault="00803091" w:rsidP="00C53C9A">
            <w:pPr>
              <w:rPr>
                <w:sz w:val="20"/>
                <w:szCs w:val="20"/>
              </w:rPr>
            </w:pPr>
          </w:p>
        </w:tc>
      </w:tr>
    </w:tbl>
    <w:p w:rsidR="00803091" w:rsidRDefault="00803091" w:rsidP="00C53C9A"/>
    <w:p w:rsidR="006E78B2" w:rsidRPr="00996A79" w:rsidRDefault="006E78B2" w:rsidP="006E78B2">
      <w:r w:rsidRPr="00996A79">
        <w:t>For the purpose of this report all other products and parameter</w:t>
      </w:r>
      <w:r>
        <w:t xml:space="preserve">s that are not listed in Table </w:t>
      </w:r>
      <w:r w:rsidR="00E27A82">
        <w:fldChar w:fldCharType="begin"/>
      </w:r>
      <w:r>
        <w:instrText xml:space="preserve"> REF _Ref459133445 \h </w:instrText>
      </w:r>
      <w:r w:rsidR="00E27A82">
        <w:fldChar w:fldCharType="separate"/>
      </w:r>
      <w:r w:rsidR="00ED66C2">
        <w:t xml:space="preserve">Table </w:t>
      </w:r>
      <w:r w:rsidR="00ED66C2">
        <w:rPr>
          <w:noProof/>
        </w:rPr>
        <w:t>4</w:t>
      </w:r>
      <w:r w:rsidR="00E27A82">
        <w:fldChar w:fldCharType="end"/>
      </w:r>
      <w:r w:rsidRPr="00996A79">
        <w:t xml:space="preserve"> </w:t>
      </w:r>
      <w:r w:rsidRPr="00A8264C">
        <w:t xml:space="preserve">are considered non-meteorological products for associated applications. For solar radiation at the surface, meteorology seems mainly concerned with the upward and downward broadband shortwave fluxes on a horizontal surface. </w:t>
      </w:r>
      <w:r>
        <w:t>However, as s</w:t>
      </w:r>
      <w:r w:rsidRPr="00A8264C">
        <w:t xml:space="preserve">olar energy applications </w:t>
      </w:r>
      <w:r>
        <w:t>need</w:t>
      </w:r>
      <w:r w:rsidRPr="00A8264C">
        <w:t xml:space="preserve"> to discriminate direct and diffuse components, </w:t>
      </w:r>
      <w:r>
        <w:t xml:space="preserve">solar radiation is also included as an </w:t>
      </w:r>
      <w:r w:rsidRPr="00A8264C">
        <w:t>NMA application. The</w:t>
      </w:r>
      <w:r>
        <w:t xml:space="preserve"> NMA</w:t>
      </w:r>
      <w:r w:rsidRPr="00A8264C">
        <w:t xml:space="preserve"> products</w:t>
      </w:r>
      <w:r w:rsidRPr="00996A79">
        <w:t xml:space="preserve"> are divided into three main groups; atmosphere, ocean and land. The following sections will describe the products for the respective application areas, the main characteristics and parameters and known limitations.</w:t>
      </w:r>
    </w:p>
    <w:p w:rsidR="006E78B2" w:rsidRPr="00996A79" w:rsidRDefault="006E78B2" w:rsidP="006E78B2">
      <w:r w:rsidRPr="00996A79">
        <w:t xml:space="preserve">An indication of which instruments of the new generation are </w:t>
      </w:r>
      <w:r>
        <w:t xml:space="preserve">currently </w:t>
      </w:r>
      <w:r w:rsidRPr="00996A79">
        <w:t xml:space="preserve">used or planned to be used to derive the associated products is also given. The instruments considered, together with the associated first platform, are the Advanced Baseline Imager (ABI)/GOES-R, Advanced Himawari Imager (AHI)/Himawari-8, Advanced </w:t>
      </w:r>
      <w:r>
        <w:t>Meteorological</w:t>
      </w:r>
      <w:r w:rsidRPr="00996A79">
        <w:t xml:space="preserve"> Imager (A</w:t>
      </w:r>
      <w:r>
        <w:t>M</w:t>
      </w:r>
      <w:r w:rsidRPr="00996A79">
        <w:t>I)/</w:t>
      </w:r>
      <w:r>
        <w:t>GEO-</w:t>
      </w:r>
      <w:r w:rsidRPr="00996A79">
        <w:t>K</w:t>
      </w:r>
      <w:r>
        <w:t>OMPSAT</w:t>
      </w:r>
      <w:r w:rsidRPr="00996A79">
        <w:t>-2A, A</w:t>
      </w:r>
      <w:r>
        <w:t>dvanced Geostationary</w:t>
      </w:r>
      <w:r w:rsidRPr="00996A79">
        <w:t xml:space="preserve"> Radiation Imager (A</w:t>
      </w:r>
      <w:r>
        <w:t>G</w:t>
      </w:r>
      <w:r w:rsidRPr="00996A79">
        <w:t>RI)/FY-4A and Flexible Combined Imager (FCI)/MTG-I1. Furthermore, as a significant pre-cursor with many comparable capabilities</w:t>
      </w:r>
      <w:r>
        <w:t>,</w:t>
      </w:r>
      <w:r w:rsidRPr="00996A79">
        <w:t xml:space="preserve"> the Spinning Enhanced Visibile and InfraRed Imager (SEVIRI)/MSG is included.</w:t>
      </w:r>
    </w:p>
    <w:p w:rsidR="006E78B2" w:rsidRDefault="006E78B2" w:rsidP="006E78B2">
      <w:r>
        <w:t>In addition to the requirements of the Level-1 data (see Section 2) on calibration, navigation and stability, a</w:t>
      </w:r>
      <w:r w:rsidRPr="00996A79">
        <w:t xml:space="preserve"> prerequisite for all products is accurate cloud detection. The considered instruments are all multispectral imagers that also include infrared channels that</w:t>
      </w:r>
      <w:r>
        <w:t xml:space="preserve"> enable</w:t>
      </w:r>
      <w:r w:rsidRPr="00996A79">
        <w:t xml:space="preserve"> the implementation of effective cloud detection algorithms.</w:t>
      </w:r>
    </w:p>
    <w:p w:rsidR="006E78B2" w:rsidRPr="00996A79" w:rsidRDefault="006E78B2" w:rsidP="006E78B2">
      <w:r>
        <w:t xml:space="preserve">It should also be noted that Table 1 includes various parameters related to radiation. Whilst these have in addition to </w:t>
      </w:r>
      <w:r w:rsidRPr="00044BE8">
        <w:rPr>
          <w:b/>
        </w:rPr>
        <w:t>weather</w:t>
      </w:r>
      <w:r>
        <w:t xml:space="preserve"> forecasting also an impact on other Societal Benefit Areas (SBAs) like </w:t>
      </w:r>
      <w:r w:rsidRPr="00640220">
        <w:rPr>
          <w:b/>
        </w:rPr>
        <w:t>SBA/</w:t>
      </w:r>
      <w:r w:rsidRPr="00044BE8">
        <w:rPr>
          <w:b/>
        </w:rPr>
        <w:t>Climate</w:t>
      </w:r>
      <w:r>
        <w:t xml:space="preserve"> and </w:t>
      </w:r>
      <w:r w:rsidRPr="00640220">
        <w:rPr>
          <w:b/>
        </w:rPr>
        <w:t>SBA/</w:t>
      </w:r>
      <w:r w:rsidRPr="00044BE8">
        <w:rPr>
          <w:b/>
        </w:rPr>
        <w:t>Energy</w:t>
      </w:r>
      <w:r>
        <w:t>, these are not further considered in the following sections except for downward solar radiation.</w:t>
      </w:r>
    </w:p>
    <w:p w:rsidR="00803091" w:rsidRDefault="00C53C9A" w:rsidP="00747E63">
      <w:pPr>
        <w:pStyle w:val="Heading2"/>
      </w:pPr>
      <w:bookmarkStart w:id="29" w:name="_Toc460923838"/>
      <w:r w:rsidRPr="00996A79">
        <w:t>Atmospheric products</w:t>
      </w:r>
      <w:bookmarkEnd w:id="29"/>
    </w:p>
    <w:p w:rsidR="00803091" w:rsidRDefault="00C53C9A" w:rsidP="00C53C9A">
      <w:pPr>
        <w:pStyle w:val="Heading3"/>
      </w:pPr>
      <w:r>
        <w:t>Overview</w:t>
      </w:r>
    </w:p>
    <w:p w:rsidR="00C53C9A" w:rsidRDefault="00C53C9A" w:rsidP="00747E63">
      <w:r w:rsidRPr="00996A79">
        <w:t xml:space="preserve">The atmospheric products considered in this chapter are aerosol/dust, volcanic ash and </w:t>
      </w:r>
      <w:r>
        <w:t xml:space="preserve">the </w:t>
      </w:r>
      <w:r w:rsidRPr="00996A79">
        <w:t xml:space="preserve">atmospheric </w:t>
      </w:r>
      <w:r>
        <w:t>constituents</w:t>
      </w:r>
      <w:r w:rsidRPr="00996A79">
        <w:t xml:space="preserve"> ozone</w:t>
      </w:r>
      <w:r>
        <w:t xml:space="preserve"> and sulphur dioxide</w:t>
      </w:r>
      <w:r w:rsidRPr="00996A79">
        <w:t xml:space="preserve">. Table 2 gives an overview of all products and an indication of which instruments of the new generation are used or planned to be used to </w:t>
      </w:r>
      <w:r w:rsidR="002F4767">
        <w:t>derive the associated products.</w:t>
      </w:r>
    </w:p>
    <w:p w:rsidR="002F4767" w:rsidRDefault="002F4767" w:rsidP="002F4767">
      <w:pPr>
        <w:pStyle w:val="Caption"/>
        <w:jc w:val="center"/>
      </w:pPr>
      <w:bookmarkStart w:id="30" w:name="_Toc460923902"/>
      <w:r>
        <w:t xml:space="preserve">Table </w:t>
      </w:r>
      <w:fldSimple w:instr=" SEQ Table \* ARABIC ">
        <w:r w:rsidR="00ED66C2">
          <w:rPr>
            <w:noProof/>
          </w:rPr>
          <w:t>5</w:t>
        </w:r>
      </w:fldSimple>
      <w:r w:rsidR="00D95643">
        <w:t>:</w:t>
      </w:r>
      <w:r>
        <w:t xml:space="preserve"> The foreseen products and parameters for atmospheric NMA products. (Baseline=B, Future capability/potential=F)</w:t>
      </w:r>
      <w:r w:rsidR="00D95643">
        <w:t>.</w:t>
      </w:r>
      <w:bookmarkEnd w:id="30"/>
    </w:p>
    <w:tbl>
      <w:tblPr>
        <w:tblStyle w:val="TableGrid"/>
        <w:tblW w:w="0" w:type="auto"/>
        <w:jc w:val="center"/>
        <w:tblInd w:w="108" w:type="dxa"/>
        <w:tblLook w:val="04A0"/>
      </w:tblPr>
      <w:tblGrid>
        <w:gridCol w:w="1356"/>
        <w:gridCol w:w="1586"/>
        <w:gridCol w:w="1010"/>
        <w:gridCol w:w="1016"/>
        <w:gridCol w:w="1013"/>
        <w:gridCol w:w="1018"/>
        <w:gridCol w:w="1003"/>
        <w:gridCol w:w="1157"/>
      </w:tblGrid>
      <w:tr w:rsidR="00C53C9A" w:rsidRPr="00996A79" w:rsidTr="002F4767">
        <w:trPr>
          <w:jc w:val="center"/>
        </w:trPr>
        <w:tc>
          <w:tcPr>
            <w:tcW w:w="1356" w:type="dxa"/>
          </w:tcPr>
          <w:p w:rsidR="00C53C9A" w:rsidRPr="00996A79" w:rsidRDefault="00C53C9A" w:rsidP="00C53C9A">
            <w:r w:rsidRPr="00996A79">
              <w:t>Product</w:t>
            </w:r>
          </w:p>
        </w:tc>
        <w:tc>
          <w:tcPr>
            <w:tcW w:w="1586" w:type="dxa"/>
          </w:tcPr>
          <w:p w:rsidR="00C53C9A" w:rsidRPr="00996A79" w:rsidRDefault="00C53C9A" w:rsidP="00C53C9A">
            <w:pPr>
              <w:rPr>
                <w:rFonts w:eastAsia="Times New Roman"/>
              </w:rPr>
            </w:pPr>
            <w:r w:rsidRPr="00996A79">
              <w:rPr>
                <w:rFonts w:eastAsia="Times New Roman"/>
              </w:rPr>
              <w:t>Parameter</w:t>
            </w:r>
          </w:p>
        </w:tc>
        <w:tc>
          <w:tcPr>
            <w:tcW w:w="1010" w:type="dxa"/>
          </w:tcPr>
          <w:p w:rsidR="00C53C9A" w:rsidRPr="00996A79" w:rsidRDefault="00C53C9A" w:rsidP="00C53C9A">
            <w:pPr>
              <w:rPr>
                <w:rFonts w:eastAsia="Times New Roman"/>
              </w:rPr>
            </w:pPr>
            <w:r w:rsidRPr="00996A79">
              <w:rPr>
                <w:rFonts w:eastAsia="Times New Roman"/>
              </w:rPr>
              <w:t>ABI</w:t>
            </w:r>
          </w:p>
        </w:tc>
        <w:tc>
          <w:tcPr>
            <w:tcW w:w="1016" w:type="dxa"/>
          </w:tcPr>
          <w:p w:rsidR="00C53C9A" w:rsidRPr="00996A79" w:rsidRDefault="00C53C9A" w:rsidP="00C53C9A">
            <w:pPr>
              <w:rPr>
                <w:rFonts w:eastAsia="Times New Roman"/>
              </w:rPr>
            </w:pPr>
            <w:r w:rsidRPr="00996A79">
              <w:rPr>
                <w:rFonts w:eastAsia="Times New Roman"/>
              </w:rPr>
              <w:t>AHI</w:t>
            </w:r>
          </w:p>
        </w:tc>
        <w:tc>
          <w:tcPr>
            <w:tcW w:w="1013" w:type="dxa"/>
          </w:tcPr>
          <w:p w:rsidR="00C53C9A" w:rsidRPr="00996A79" w:rsidRDefault="00C53C9A" w:rsidP="00C53C9A">
            <w:pPr>
              <w:rPr>
                <w:rFonts w:eastAsia="Times New Roman"/>
              </w:rPr>
            </w:pPr>
            <w:r>
              <w:rPr>
                <w:rFonts w:eastAsia="Times New Roman"/>
              </w:rPr>
              <w:t>AMI</w:t>
            </w:r>
          </w:p>
        </w:tc>
        <w:tc>
          <w:tcPr>
            <w:tcW w:w="1018" w:type="dxa"/>
          </w:tcPr>
          <w:p w:rsidR="00C53C9A" w:rsidRPr="00996A79" w:rsidRDefault="00C53C9A" w:rsidP="00C53C9A">
            <w:pPr>
              <w:rPr>
                <w:rFonts w:eastAsia="Times New Roman"/>
              </w:rPr>
            </w:pPr>
            <w:r>
              <w:rPr>
                <w:rFonts w:eastAsia="Times New Roman"/>
              </w:rPr>
              <w:t>A</w:t>
            </w:r>
            <w:r w:rsidRPr="00996A79">
              <w:rPr>
                <w:rFonts w:eastAsia="Times New Roman"/>
              </w:rPr>
              <w:t>GRI</w:t>
            </w:r>
          </w:p>
        </w:tc>
        <w:tc>
          <w:tcPr>
            <w:tcW w:w="1003" w:type="dxa"/>
          </w:tcPr>
          <w:p w:rsidR="00C53C9A" w:rsidRPr="00996A79" w:rsidRDefault="00C53C9A" w:rsidP="00C53C9A">
            <w:pPr>
              <w:rPr>
                <w:rFonts w:eastAsia="Times New Roman"/>
              </w:rPr>
            </w:pPr>
            <w:r w:rsidRPr="00996A79">
              <w:rPr>
                <w:rFonts w:eastAsia="Times New Roman"/>
              </w:rPr>
              <w:t>FCI</w:t>
            </w:r>
          </w:p>
        </w:tc>
        <w:tc>
          <w:tcPr>
            <w:tcW w:w="1157" w:type="dxa"/>
          </w:tcPr>
          <w:p w:rsidR="00C53C9A" w:rsidRPr="00996A79" w:rsidRDefault="00C53C9A" w:rsidP="00C53C9A">
            <w:pPr>
              <w:rPr>
                <w:rFonts w:eastAsia="Times New Roman"/>
              </w:rPr>
            </w:pPr>
            <w:r w:rsidRPr="00996A79">
              <w:rPr>
                <w:rFonts w:eastAsia="Times New Roman"/>
              </w:rPr>
              <w:t>SEVIRI</w:t>
            </w:r>
          </w:p>
        </w:tc>
      </w:tr>
      <w:tr w:rsidR="00C53C9A" w:rsidRPr="00996A79" w:rsidTr="002F4767">
        <w:trPr>
          <w:jc w:val="center"/>
        </w:trPr>
        <w:tc>
          <w:tcPr>
            <w:tcW w:w="1356" w:type="dxa"/>
            <w:vMerge w:val="restart"/>
          </w:tcPr>
          <w:p w:rsidR="00C53C9A" w:rsidRPr="00996A79" w:rsidRDefault="00C53C9A" w:rsidP="00C53C9A">
            <w:r w:rsidRPr="00996A79">
              <w:t>Aerosol</w:t>
            </w:r>
          </w:p>
        </w:tc>
        <w:tc>
          <w:tcPr>
            <w:tcW w:w="1586" w:type="dxa"/>
          </w:tcPr>
          <w:p w:rsidR="00C53C9A" w:rsidRPr="00996A79" w:rsidRDefault="00C53C9A" w:rsidP="00C53C9A">
            <w:pPr>
              <w:rPr>
                <w:rFonts w:eastAsia="Times New Roman"/>
              </w:rPr>
            </w:pPr>
            <w:r w:rsidRPr="00996A79">
              <w:rPr>
                <w:rFonts w:eastAsia="Times New Roman"/>
              </w:rPr>
              <w:t>Detection</w:t>
            </w:r>
          </w:p>
        </w:tc>
        <w:tc>
          <w:tcPr>
            <w:tcW w:w="1010" w:type="dxa"/>
          </w:tcPr>
          <w:p w:rsidR="00C53C9A" w:rsidRPr="00996A79" w:rsidRDefault="00C53C9A" w:rsidP="00C53C9A">
            <w:pPr>
              <w:rPr>
                <w:rFonts w:eastAsia="Times New Roman"/>
              </w:rPr>
            </w:pPr>
            <w:r w:rsidRPr="00996A79">
              <w:rPr>
                <w:rFonts w:eastAsia="Times New Roman"/>
              </w:rPr>
              <w:t>B</w:t>
            </w:r>
          </w:p>
        </w:tc>
        <w:tc>
          <w:tcPr>
            <w:tcW w:w="1016" w:type="dxa"/>
          </w:tcPr>
          <w:p w:rsidR="00C53C9A" w:rsidRPr="00996A79" w:rsidRDefault="00C53C9A" w:rsidP="00C53C9A">
            <w:pPr>
              <w:rPr>
                <w:rFonts w:eastAsia="Times New Roman"/>
              </w:rPr>
            </w:pPr>
            <w:r w:rsidRPr="00996A79">
              <w:rPr>
                <w:rFonts w:eastAsia="Times New Roman"/>
              </w:rPr>
              <w:t>B</w:t>
            </w:r>
          </w:p>
        </w:tc>
        <w:tc>
          <w:tcPr>
            <w:tcW w:w="1013" w:type="dxa"/>
          </w:tcPr>
          <w:p w:rsidR="00C53C9A" w:rsidRPr="00996A79" w:rsidRDefault="00C53C9A" w:rsidP="00C53C9A">
            <w:pPr>
              <w:rPr>
                <w:rFonts w:eastAsia="Times New Roman"/>
              </w:rPr>
            </w:pPr>
            <w:r w:rsidRPr="00996A79">
              <w:rPr>
                <w:rFonts w:eastAsia="Times New Roman"/>
              </w:rPr>
              <w:t>B</w:t>
            </w:r>
          </w:p>
        </w:tc>
        <w:tc>
          <w:tcPr>
            <w:tcW w:w="1018" w:type="dxa"/>
          </w:tcPr>
          <w:p w:rsidR="00C53C9A" w:rsidRPr="00996A79" w:rsidRDefault="00C53C9A" w:rsidP="00C53C9A">
            <w:pPr>
              <w:rPr>
                <w:rFonts w:eastAsia="Times New Roman"/>
              </w:rPr>
            </w:pPr>
            <w:r w:rsidRPr="00996A79">
              <w:rPr>
                <w:rFonts w:eastAsia="Times New Roman"/>
              </w:rPr>
              <w:t>B</w:t>
            </w:r>
          </w:p>
        </w:tc>
        <w:tc>
          <w:tcPr>
            <w:tcW w:w="1003" w:type="dxa"/>
          </w:tcPr>
          <w:p w:rsidR="00C53C9A" w:rsidRPr="00996A79" w:rsidRDefault="00C53C9A" w:rsidP="00C53C9A">
            <w:pPr>
              <w:rPr>
                <w:rFonts w:eastAsia="Times New Roman"/>
              </w:rPr>
            </w:pPr>
            <w:r w:rsidRPr="00996A79">
              <w:rPr>
                <w:rFonts w:eastAsia="Times New Roman"/>
              </w:rPr>
              <w:t>B</w:t>
            </w:r>
          </w:p>
        </w:tc>
        <w:tc>
          <w:tcPr>
            <w:tcW w:w="1157" w:type="dxa"/>
          </w:tcPr>
          <w:p w:rsidR="00C53C9A" w:rsidRPr="00996A79" w:rsidRDefault="00C53C9A" w:rsidP="00C53C9A">
            <w:pPr>
              <w:rPr>
                <w:rFonts w:eastAsia="Times New Roman"/>
              </w:rPr>
            </w:pPr>
            <w:r w:rsidRPr="00996A79">
              <w:rPr>
                <w:rFonts w:eastAsia="Times New Roman"/>
              </w:rPr>
              <w:t>B</w:t>
            </w:r>
          </w:p>
        </w:tc>
      </w:tr>
      <w:tr w:rsidR="00C53C9A" w:rsidRPr="00996A79" w:rsidTr="002F4767">
        <w:trPr>
          <w:jc w:val="center"/>
        </w:trPr>
        <w:tc>
          <w:tcPr>
            <w:tcW w:w="1356" w:type="dxa"/>
            <w:vMerge/>
          </w:tcPr>
          <w:p w:rsidR="00C53C9A" w:rsidRPr="00996A79" w:rsidRDefault="00C53C9A" w:rsidP="00C53C9A"/>
        </w:tc>
        <w:tc>
          <w:tcPr>
            <w:tcW w:w="1586" w:type="dxa"/>
          </w:tcPr>
          <w:p w:rsidR="00C53C9A" w:rsidRPr="00996A79" w:rsidRDefault="00C53C9A" w:rsidP="00C53C9A">
            <w:pPr>
              <w:rPr>
                <w:rFonts w:eastAsia="Times New Roman"/>
              </w:rPr>
            </w:pPr>
            <w:r w:rsidRPr="00996A79">
              <w:rPr>
                <w:rFonts w:eastAsia="Times New Roman"/>
              </w:rPr>
              <w:t>AOD</w:t>
            </w:r>
          </w:p>
        </w:tc>
        <w:tc>
          <w:tcPr>
            <w:tcW w:w="1010" w:type="dxa"/>
          </w:tcPr>
          <w:p w:rsidR="00C53C9A" w:rsidRPr="00996A79" w:rsidRDefault="00C53C9A" w:rsidP="00C53C9A">
            <w:pPr>
              <w:rPr>
                <w:rFonts w:eastAsia="Times New Roman"/>
              </w:rPr>
            </w:pPr>
            <w:r w:rsidRPr="00996A79">
              <w:rPr>
                <w:rFonts w:eastAsia="Times New Roman"/>
              </w:rPr>
              <w:t>B</w:t>
            </w:r>
          </w:p>
        </w:tc>
        <w:tc>
          <w:tcPr>
            <w:tcW w:w="1016" w:type="dxa"/>
          </w:tcPr>
          <w:p w:rsidR="00C53C9A" w:rsidRPr="00996A79" w:rsidRDefault="00C53C9A" w:rsidP="00C53C9A">
            <w:pPr>
              <w:rPr>
                <w:rFonts w:eastAsia="Times New Roman"/>
              </w:rPr>
            </w:pPr>
            <w:r w:rsidRPr="00996A79">
              <w:rPr>
                <w:rFonts w:eastAsia="Times New Roman"/>
              </w:rPr>
              <w:t>B</w:t>
            </w:r>
          </w:p>
        </w:tc>
        <w:tc>
          <w:tcPr>
            <w:tcW w:w="1013" w:type="dxa"/>
          </w:tcPr>
          <w:p w:rsidR="00C53C9A" w:rsidRPr="00996A79" w:rsidRDefault="00F37B38" w:rsidP="00C53C9A">
            <w:pPr>
              <w:rPr>
                <w:rFonts w:eastAsia="Times New Roman"/>
              </w:rPr>
            </w:pPr>
            <w:r>
              <w:rPr>
                <w:rFonts w:eastAsia="Times New Roman"/>
              </w:rPr>
              <w:t>B</w:t>
            </w:r>
          </w:p>
        </w:tc>
        <w:tc>
          <w:tcPr>
            <w:tcW w:w="1018" w:type="dxa"/>
          </w:tcPr>
          <w:p w:rsidR="00C53C9A" w:rsidRPr="00996A79" w:rsidRDefault="00C53C9A" w:rsidP="00C53C9A">
            <w:pPr>
              <w:rPr>
                <w:rFonts w:eastAsia="Times New Roman"/>
              </w:rPr>
            </w:pPr>
            <w:r w:rsidRPr="00996A79">
              <w:rPr>
                <w:rFonts w:eastAsia="Times New Roman"/>
              </w:rPr>
              <w:t>B</w:t>
            </w:r>
          </w:p>
        </w:tc>
        <w:tc>
          <w:tcPr>
            <w:tcW w:w="1003" w:type="dxa"/>
          </w:tcPr>
          <w:p w:rsidR="00C53C9A" w:rsidRPr="00996A79" w:rsidRDefault="00C53C9A" w:rsidP="00C53C9A">
            <w:pPr>
              <w:rPr>
                <w:rFonts w:eastAsia="Times New Roman"/>
              </w:rPr>
            </w:pPr>
            <w:r w:rsidRPr="00996A79">
              <w:rPr>
                <w:rFonts w:eastAsia="Times New Roman"/>
              </w:rPr>
              <w:t>B</w:t>
            </w:r>
          </w:p>
        </w:tc>
        <w:tc>
          <w:tcPr>
            <w:tcW w:w="1157" w:type="dxa"/>
          </w:tcPr>
          <w:p w:rsidR="00C53C9A" w:rsidRPr="00996A79" w:rsidRDefault="00C53C9A" w:rsidP="00C53C9A">
            <w:pPr>
              <w:rPr>
                <w:rFonts w:eastAsia="Times New Roman"/>
              </w:rPr>
            </w:pPr>
          </w:p>
        </w:tc>
      </w:tr>
      <w:tr w:rsidR="00C53C9A" w:rsidRPr="00996A79" w:rsidTr="002F4767">
        <w:trPr>
          <w:jc w:val="center"/>
        </w:trPr>
        <w:tc>
          <w:tcPr>
            <w:tcW w:w="1356" w:type="dxa"/>
            <w:vMerge/>
          </w:tcPr>
          <w:p w:rsidR="00C53C9A" w:rsidRPr="00996A79" w:rsidRDefault="00C53C9A" w:rsidP="00C53C9A"/>
        </w:tc>
        <w:tc>
          <w:tcPr>
            <w:tcW w:w="1586" w:type="dxa"/>
          </w:tcPr>
          <w:p w:rsidR="00C53C9A" w:rsidRPr="00996A79" w:rsidRDefault="00C53C9A" w:rsidP="00C53C9A">
            <w:pPr>
              <w:rPr>
                <w:rFonts w:eastAsia="Times New Roman"/>
              </w:rPr>
            </w:pPr>
            <w:r w:rsidRPr="00996A79">
              <w:rPr>
                <w:rFonts w:eastAsia="Times New Roman"/>
              </w:rPr>
              <w:t>Angstrom Coefficient</w:t>
            </w:r>
          </w:p>
        </w:tc>
        <w:tc>
          <w:tcPr>
            <w:tcW w:w="1010" w:type="dxa"/>
          </w:tcPr>
          <w:p w:rsidR="00C53C9A" w:rsidRPr="00996A79" w:rsidRDefault="00C53C9A" w:rsidP="00C53C9A">
            <w:pPr>
              <w:rPr>
                <w:rFonts w:eastAsia="Times New Roman"/>
              </w:rPr>
            </w:pPr>
          </w:p>
        </w:tc>
        <w:tc>
          <w:tcPr>
            <w:tcW w:w="1016" w:type="dxa"/>
          </w:tcPr>
          <w:p w:rsidR="00C53C9A" w:rsidRPr="00996A79" w:rsidRDefault="00C53C9A" w:rsidP="00C53C9A">
            <w:pPr>
              <w:rPr>
                <w:rFonts w:eastAsia="Times New Roman"/>
              </w:rPr>
            </w:pPr>
            <w:r w:rsidRPr="00996A79">
              <w:rPr>
                <w:rFonts w:eastAsia="Times New Roman"/>
              </w:rPr>
              <w:t>B</w:t>
            </w:r>
          </w:p>
        </w:tc>
        <w:tc>
          <w:tcPr>
            <w:tcW w:w="1013" w:type="dxa"/>
          </w:tcPr>
          <w:p w:rsidR="00C53C9A" w:rsidRPr="00996A79" w:rsidRDefault="00F37B38" w:rsidP="00C53C9A">
            <w:pPr>
              <w:rPr>
                <w:rFonts w:eastAsia="Times New Roman"/>
              </w:rPr>
            </w:pPr>
            <w:r>
              <w:rPr>
                <w:rFonts w:eastAsia="Times New Roman"/>
              </w:rPr>
              <w:t>F</w:t>
            </w:r>
          </w:p>
        </w:tc>
        <w:tc>
          <w:tcPr>
            <w:tcW w:w="1018" w:type="dxa"/>
          </w:tcPr>
          <w:p w:rsidR="00C53C9A" w:rsidRPr="00996A79" w:rsidRDefault="00C53C9A" w:rsidP="00C53C9A">
            <w:pPr>
              <w:rPr>
                <w:rFonts w:eastAsia="Times New Roman"/>
              </w:rPr>
            </w:pPr>
          </w:p>
        </w:tc>
        <w:tc>
          <w:tcPr>
            <w:tcW w:w="1003" w:type="dxa"/>
          </w:tcPr>
          <w:p w:rsidR="00C53C9A" w:rsidRPr="00996A79" w:rsidRDefault="00C53C9A" w:rsidP="00C53C9A">
            <w:pPr>
              <w:rPr>
                <w:rFonts w:eastAsia="Times New Roman"/>
              </w:rPr>
            </w:pPr>
          </w:p>
        </w:tc>
        <w:tc>
          <w:tcPr>
            <w:tcW w:w="1157" w:type="dxa"/>
          </w:tcPr>
          <w:p w:rsidR="00C53C9A" w:rsidRPr="00996A79" w:rsidRDefault="00C53C9A" w:rsidP="00C53C9A">
            <w:pPr>
              <w:rPr>
                <w:rFonts w:eastAsia="Times New Roman"/>
              </w:rPr>
            </w:pPr>
          </w:p>
        </w:tc>
      </w:tr>
      <w:tr w:rsidR="00C53C9A" w:rsidRPr="00996A79" w:rsidTr="002F4767">
        <w:trPr>
          <w:jc w:val="center"/>
        </w:trPr>
        <w:tc>
          <w:tcPr>
            <w:tcW w:w="1356" w:type="dxa"/>
            <w:vMerge/>
          </w:tcPr>
          <w:p w:rsidR="00C53C9A" w:rsidRPr="00996A79" w:rsidRDefault="00C53C9A" w:rsidP="00C53C9A"/>
        </w:tc>
        <w:tc>
          <w:tcPr>
            <w:tcW w:w="1586" w:type="dxa"/>
          </w:tcPr>
          <w:p w:rsidR="00C53C9A" w:rsidRPr="00996A79" w:rsidRDefault="00C53C9A" w:rsidP="00C53C9A">
            <w:pPr>
              <w:rPr>
                <w:rFonts w:eastAsia="Times New Roman"/>
              </w:rPr>
            </w:pPr>
            <w:r w:rsidRPr="00996A79">
              <w:rPr>
                <w:rFonts w:eastAsia="Times New Roman"/>
              </w:rPr>
              <w:t>Particle Size</w:t>
            </w:r>
          </w:p>
        </w:tc>
        <w:tc>
          <w:tcPr>
            <w:tcW w:w="1010" w:type="dxa"/>
          </w:tcPr>
          <w:p w:rsidR="00C53C9A" w:rsidRPr="00996A79" w:rsidRDefault="00C53C9A" w:rsidP="00C53C9A">
            <w:pPr>
              <w:rPr>
                <w:rFonts w:eastAsia="Times New Roman"/>
              </w:rPr>
            </w:pPr>
            <w:r w:rsidRPr="00996A79">
              <w:rPr>
                <w:rFonts w:eastAsia="Times New Roman"/>
              </w:rPr>
              <w:t>F</w:t>
            </w:r>
          </w:p>
        </w:tc>
        <w:tc>
          <w:tcPr>
            <w:tcW w:w="1016" w:type="dxa"/>
          </w:tcPr>
          <w:p w:rsidR="00C53C9A" w:rsidRPr="00996A79" w:rsidRDefault="00C53C9A" w:rsidP="00C53C9A">
            <w:pPr>
              <w:rPr>
                <w:rFonts w:eastAsia="Times New Roman"/>
              </w:rPr>
            </w:pPr>
          </w:p>
        </w:tc>
        <w:tc>
          <w:tcPr>
            <w:tcW w:w="1013" w:type="dxa"/>
          </w:tcPr>
          <w:p w:rsidR="00C53C9A" w:rsidRPr="00996A79" w:rsidRDefault="00F37B38" w:rsidP="00C53C9A">
            <w:pPr>
              <w:rPr>
                <w:rFonts w:eastAsia="Times New Roman"/>
              </w:rPr>
            </w:pPr>
            <w:r>
              <w:rPr>
                <w:rFonts w:eastAsia="Times New Roman"/>
              </w:rPr>
              <w:t>F</w:t>
            </w:r>
          </w:p>
        </w:tc>
        <w:tc>
          <w:tcPr>
            <w:tcW w:w="1018" w:type="dxa"/>
          </w:tcPr>
          <w:p w:rsidR="00C53C9A" w:rsidRPr="00996A79" w:rsidRDefault="00C53C9A" w:rsidP="00C53C9A">
            <w:pPr>
              <w:rPr>
                <w:rFonts w:eastAsia="Times New Roman"/>
              </w:rPr>
            </w:pPr>
          </w:p>
        </w:tc>
        <w:tc>
          <w:tcPr>
            <w:tcW w:w="1003" w:type="dxa"/>
          </w:tcPr>
          <w:p w:rsidR="00C53C9A" w:rsidRPr="00996A79" w:rsidRDefault="00C53C9A" w:rsidP="00C53C9A">
            <w:pPr>
              <w:rPr>
                <w:rFonts w:eastAsia="Times New Roman"/>
              </w:rPr>
            </w:pPr>
            <w:r w:rsidRPr="00996A79">
              <w:rPr>
                <w:rFonts w:eastAsia="Times New Roman"/>
              </w:rPr>
              <w:t>B</w:t>
            </w:r>
          </w:p>
        </w:tc>
        <w:tc>
          <w:tcPr>
            <w:tcW w:w="1157" w:type="dxa"/>
          </w:tcPr>
          <w:p w:rsidR="00C53C9A" w:rsidRPr="00996A79" w:rsidRDefault="00C53C9A" w:rsidP="00C53C9A">
            <w:pPr>
              <w:rPr>
                <w:rFonts w:eastAsia="Times New Roman"/>
              </w:rPr>
            </w:pPr>
          </w:p>
        </w:tc>
      </w:tr>
      <w:tr w:rsidR="00C53C9A" w:rsidRPr="00996A79" w:rsidTr="002F4767">
        <w:trPr>
          <w:jc w:val="center"/>
        </w:trPr>
        <w:tc>
          <w:tcPr>
            <w:tcW w:w="1356" w:type="dxa"/>
            <w:vMerge/>
          </w:tcPr>
          <w:p w:rsidR="00C53C9A" w:rsidRPr="00996A79" w:rsidRDefault="00C53C9A" w:rsidP="00C53C9A"/>
        </w:tc>
        <w:tc>
          <w:tcPr>
            <w:tcW w:w="1586" w:type="dxa"/>
          </w:tcPr>
          <w:p w:rsidR="00C53C9A" w:rsidRPr="00996A79" w:rsidRDefault="00C53C9A" w:rsidP="00C53C9A">
            <w:pPr>
              <w:rPr>
                <w:rFonts w:eastAsia="Times New Roman"/>
              </w:rPr>
            </w:pPr>
            <w:r w:rsidRPr="00996A79">
              <w:rPr>
                <w:rFonts w:eastAsia="Times New Roman"/>
              </w:rPr>
              <w:t>Type</w:t>
            </w:r>
          </w:p>
        </w:tc>
        <w:tc>
          <w:tcPr>
            <w:tcW w:w="1010" w:type="dxa"/>
          </w:tcPr>
          <w:p w:rsidR="00C53C9A" w:rsidRPr="00996A79" w:rsidRDefault="00C53C9A" w:rsidP="00C53C9A">
            <w:pPr>
              <w:rPr>
                <w:rFonts w:eastAsia="Times New Roman"/>
              </w:rPr>
            </w:pPr>
          </w:p>
        </w:tc>
        <w:tc>
          <w:tcPr>
            <w:tcW w:w="1016" w:type="dxa"/>
          </w:tcPr>
          <w:p w:rsidR="00C53C9A" w:rsidRPr="00996A79" w:rsidRDefault="00C53C9A" w:rsidP="00C53C9A">
            <w:pPr>
              <w:rPr>
                <w:rFonts w:eastAsia="Times New Roman"/>
              </w:rPr>
            </w:pPr>
          </w:p>
        </w:tc>
        <w:tc>
          <w:tcPr>
            <w:tcW w:w="1013" w:type="dxa"/>
          </w:tcPr>
          <w:p w:rsidR="00C53C9A" w:rsidRPr="00996A79" w:rsidRDefault="00C53C9A" w:rsidP="00C53C9A">
            <w:pPr>
              <w:rPr>
                <w:rFonts w:eastAsia="Times New Roman"/>
              </w:rPr>
            </w:pPr>
          </w:p>
        </w:tc>
        <w:tc>
          <w:tcPr>
            <w:tcW w:w="1018" w:type="dxa"/>
          </w:tcPr>
          <w:p w:rsidR="00C53C9A" w:rsidRPr="00996A79" w:rsidRDefault="00C53C9A" w:rsidP="00C53C9A">
            <w:pPr>
              <w:rPr>
                <w:rFonts w:eastAsia="Times New Roman"/>
              </w:rPr>
            </w:pPr>
            <w:r w:rsidRPr="00996A79">
              <w:rPr>
                <w:rFonts w:eastAsia="Times New Roman"/>
              </w:rPr>
              <w:t>B</w:t>
            </w:r>
          </w:p>
        </w:tc>
        <w:tc>
          <w:tcPr>
            <w:tcW w:w="1003" w:type="dxa"/>
          </w:tcPr>
          <w:p w:rsidR="00C53C9A" w:rsidRPr="00996A79" w:rsidRDefault="00C53C9A" w:rsidP="00C53C9A">
            <w:pPr>
              <w:rPr>
                <w:rFonts w:eastAsia="Times New Roman"/>
              </w:rPr>
            </w:pPr>
          </w:p>
        </w:tc>
        <w:tc>
          <w:tcPr>
            <w:tcW w:w="1157" w:type="dxa"/>
          </w:tcPr>
          <w:p w:rsidR="00C53C9A" w:rsidRPr="00996A79" w:rsidRDefault="00C53C9A" w:rsidP="00C53C9A">
            <w:pPr>
              <w:rPr>
                <w:rFonts w:eastAsia="Times New Roman"/>
              </w:rPr>
            </w:pPr>
          </w:p>
        </w:tc>
      </w:tr>
      <w:tr w:rsidR="00C53C9A" w:rsidRPr="00996A79" w:rsidTr="002F4767">
        <w:trPr>
          <w:jc w:val="center"/>
        </w:trPr>
        <w:tc>
          <w:tcPr>
            <w:tcW w:w="1356" w:type="dxa"/>
            <w:vMerge w:val="restart"/>
          </w:tcPr>
          <w:p w:rsidR="00C53C9A" w:rsidRPr="00996A79" w:rsidRDefault="00C53C9A" w:rsidP="00C53C9A">
            <w:r w:rsidRPr="00996A79">
              <w:t>Dust</w:t>
            </w:r>
          </w:p>
        </w:tc>
        <w:tc>
          <w:tcPr>
            <w:tcW w:w="1586" w:type="dxa"/>
          </w:tcPr>
          <w:p w:rsidR="00C53C9A" w:rsidRPr="00996A79" w:rsidRDefault="00C53C9A" w:rsidP="00C53C9A">
            <w:pPr>
              <w:rPr>
                <w:rFonts w:eastAsia="Times New Roman"/>
              </w:rPr>
            </w:pPr>
            <w:r w:rsidRPr="00996A79">
              <w:rPr>
                <w:rFonts w:eastAsia="Times New Roman"/>
              </w:rPr>
              <w:t>Detection</w:t>
            </w:r>
          </w:p>
        </w:tc>
        <w:tc>
          <w:tcPr>
            <w:tcW w:w="1010" w:type="dxa"/>
          </w:tcPr>
          <w:p w:rsidR="00C53C9A" w:rsidRPr="00996A79" w:rsidRDefault="00C53C9A" w:rsidP="00C53C9A">
            <w:pPr>
              <w:rPr>
                <w:rFonts w:eastAsia="Times New Roman"/>
              </w:rPr>
            </w:pPr>
            <w:r w:rsidRPr="00996A79">
              <w:rPr>
                <w:rFonts w:eastAsia="Times New Roman"/>
              </w:rPr>
              <w:t>B</w:t>
            </w:r>
          </w:p>
        </w:tc>
        <w:tc>
          <w:tcPr>
            <w:tcW w:w="1016" w:type="dxa"/>
          </w:tcPr>
          <w:p w:rsidR="00C53C9A" w:rsidRPr="00996A79" w:rsidRDefault="00C53C9A" w:rsidP="00C53C9A">
            <w:pPr>
              <w:rPr>
                <w:rFonts w:eastAsia="Times New Roman"/>
              </w:rPr>
            </w:pPr>
          </w:p>
        </w:tc>
        <w:tc>
          <w:tcPr>
            <w:tcW w:w="1013" w:type="dxa"/>
          </w:tcPr>
          <w:p w:rsidR="00C53C9A" w:rsidRPr="00996A79" w:rsidRDefault="00C53C9A" w:rsidP="00C53C9A">
            <w:pPr>
              <w:rPr>
                <w:rFonts w:eastAsia="Times New Roman"/>
              </w:rPr>
            </w:pPr>
            <w:r w:rsidRPr="00996A79">
              <w:rPr>
                <w:rFonts w:eastAsia="Times New Roman"/>
              </w:rPr>
              <w:t>B</w:t>
            </w:r>
          </w:p>
        </w:tc>
        <w:tc>
          <w:tcPr>
            <w:tcW w:w="1018" w:type="dxa"/>
          </w:tcPr>
          <w:p w:rsidR="00C53C9A" w:rsidRPr="00996A79" w:rsidRDefault="00C53C9A" w:rsidP="00C53C9A">
            <w:pPr>
              <w:rPr>
                <w:rFonts w:eastAsia="Times New Roman"/>
              </w:rPr>
            </w:pPr>
            <w:r w:rsidRPr="00996A79">
              <w:rPr>
                <w:rFonts w:eastAsia="Times New Roman"/>
              </w:rPr>
              <w:t>B</w:t>
            </w:r>
          </w:p>
        </w:tc>
        <w:tc>
          <w:tcPr>
            <w:tcW w:w="1003" w:type="dxa"/>
          </w:tcPr>
          <w:p w:rsidR="00C53C9A" w:rsidRPr="00996A79" w:rsidRDefault="00C53C9A" w:rsidP="00C53C9A">
            <w:pPr>
              <w:rPr>
                <w:rFonts w:eastAsia="Times New Roman"/>
              </w:rPr>
            </w:pPr>
            <w:r w:rsidRPr="00996A79">
              <w:rPr>
                <w:rFonts w:eastAsia="Times New Roman"/>
              </w:rPr>
              <w:t>B</w:t>
            </w:r>
          </w:p>
        </w:tc>
        <w:tc>
          <w:tcPr>
            <w:tcW w:w="1157" w:type="dxa"/>
          </w:tcPr>
          <w:p w:rsidR="00C53C9A" w:rsidRPr="00996A79" w:rsidRDefault="00C53C9A" w:rsidP="00C53C9A">
            <w:pPr>
              <w:rPr>
                <w:rFonts w:eastAsia="Times New Roman"/>
              </w:rPr>
            </w:pPr>
            <w:r w:rsidRPr="00996A79">
              <w:rPr>
                <w:rFonts w:eastAsia="Times New Roman"/>
              </w:rPr>
              <w:t>B</w:t>
            </w:r>
          </w:p>
        </w:tc>
      </w:tr>
      <w:tr w:rsidR="00C53C9A" w:rsidRPr="00996A79" w:rsidTr="002F4767">
        <w:trPr>
          <w:jc w:val="center"/>
        </w:trPr>
        <w:tc>
          <w:tcPr>
            <w:tcW w:w="1356" w:type="dxa"/>
            <w:vMerge/>
          </w:tcPr>
          <w:p w:rsidR="00C53C9A" w:rsidRPr="00996A79" w:rsidRDefault="00C53C9A" w:rsidP="00C53C9A"/>
        </w:tc>
        <w:tc>
          <w:tcPr>
            <w:tcW w:w="1586" w:type="dxa"/>
          </w:tcPr>
          <w:p w:rsidR="00C53C9A" w:rsidRPr="00996A79" w:rsidRDefault="00C53C9A" w:rsidP="00C53C9A">
            <w:pPr>
              <w:rPr>
                <w:rFonts w:eastAsia="Times New Roman"/>
              </w:rPr>
            </w:pPr>
            <w:r w:rsidRPr="00996A79">
              <w:rPr>
                <w:rFonts w:eastAsia="Times New Roman"/>
              </w:rPr>
              <w:t>Optical Depth</w:t>
            </w:r>
          </w:p>
        </w:tc>
        <w:tc>
          <w:tcPr>
            <w:tcW w:w="1010" w:type="dxa"/>
          </w:tcPr>
          <w:p w:rsidR="00C53C9A" w:rsidRPr="00996A79" w:rsidRDefault="00C53C9A" w:rsidP="00C53C9A">
            <w:pPr>
              <w:rPr>
                <w:rFonts w:eastAsia="Times New Roman"/>
              </w:rPr>
            </w:pPr>
          </w:p>
        </w:tc>
        <w:tc>
          <w:tcPr>
            <w:tcW w:w="1016" w:type="dxa"/>
          </w:tcPr>
          <w:p w:rsidR="00C53C9A" w:rsidRPr="00996A79" w:rsidRDefault="00C53C9A" w:rsidP="00C53C9A">
            <w:pPr>
              <w:rPr>
                <w:rFonts w:eastAsia="Times New Roman"/>
              </w:rPr>
            </w:pPr>
          </w:p>
        </w:tc>
        <w:tc>
          <w:tcPr>
            <w:tcW w:w="1013" w:type="dxa"/>
          </w:tcPr>
          <w:p w:rsidR="00C53C9A" w:rsidRPr="00996A79" w:rsidRDefault="00C53C9A" w:rsidP="00C53C9A">
            <w:pPr>
              <w:rPr>
                <w:rFonts w:eastAsia="Times New Roman"/>
              </w:rPr>
            </w:pPr>
            <w:r w:rsidRPr="00996A79">
              <w:rPr>
                <w:rFonts w:eastAsia="Times New Roman"/>
              </w:rPr>
              <w:t>B</w:t>
            </w:r>
          </w:p>
        </w:tc>
        <w:tc>
          <w:tcPr>
            <w:tcW w:w="1018" w:type="dxa"/>
          </w:tcPr>
          <w:p w:rsidR="00C53C9A" w:rsidRPr="00996A79" w:rsidRDefault="00C53C9A" w:rsidP="00C53C9A">
            <w:pPr>
              <w:rPr>
                <w:rFonts w:eastAsia="Times New Roman"/>
              </w:rPr>
            </w:pPr>
          </w:p>
        </w:tc>
        <w:tc>
          <w:tcPr>
            <w:tcW w:w="1003" w:type="dxa"/>
          </w:tcPr>
          <w:p w:rsidR="00C53C9A" w:rsidRPr="00996A79" w:rsidRDefault="00C53C9A" w:rsidP="00C53C9A">
            <w:pPr>
              <w:rPr>
                <w:rFonts w:eastAsia="Times New Roman"/>
              </w:rPr>
            </w:pPr>
          </w:p>
        </w:tc>
        <w:tc>
          <w:tcPr>
            <w:tcW w:w="1157" w:type="dxa"/>
          </w:tcPr>
          <w:p w:rsidR="00C53C9A" w:rsidRPr="00996A79" w:rsidRDefault="00C53C9A" w:rsidP="00C53C9A">
            <w:pPr>
              <w:rPr>
                <w:rFonts w:eastAsia="Times New Roman"/>
              </w:rPr>
            </w:pPr>
          </w:p>
        </w:tc>
      </w:tr>
      <w:tr w:rsidR="00C53C9A" w:rsidRPr="00996A79" w:rsidTr="002F4767">
        <w:trPr>
          <w:jc w:val="center"/>
        </w:trPr>
        <w:tc>
          <w:tcPr>
            <w:tcW w:w="1356" w:type="dxa"/>
            <w:vMerge w:val="restart"/>
          </w:tcPr>
          <w:p w:rsidR="00C53C9A" w:rsidRPr="00996A79" w:rsidRDefault="00C53C9A" w:rsidP="00C53C9A">
            <w:r w:rsidRPr="00996A79">
              <w:t>Volcanic Ash</w:t>
            </w:r>
          </w:p>
        </w:tc>
        <w:tc>
          <w:tcPr>
            <w:tcW w:w="1586" w:type="dxa"/>
          </w:tcPr>
          <w:p w:rsidR="00C53C9A" w:rsidRPr="00996A79" w:rsidRDefault="00C53C9A" w:rsidP="00C53C9A">
            <w:pPr>
              <w:rPr>
                <w:rFonts w:eastAsia="Times New Roman"/>
              </w:rPr>
            </w:pPr>
            <w:r w:rsidRPr="00996A79">
              <w:rPr>
                <w:rFonts w:eastAsia="Times New Roman"/>
              </w:rPr>
              <w:t>Detection</w:t>
            </w:r>
          </w:p>
        </w:tc>
        <w:tc>
          <w:tcPr>
            <w:tcW w:w="1010" w:type="dxa"/>
          </w:tcPr>
          <w:p w:rsidR="00C53C9A" w:rsidRPr="00996A79" w:rsidRDefault="00C53C9A" w:rsidP="00C53C9A">
            <w:pPr>
              <w:rPr>
                <w:rFonts w:eastAsia="Times New Roman"/>
              </w:rPr>
            </w:pPr>
            <w:r w:rsidRPr="00996A79">
              <w:rPr>
                <w:rFonts w:eastAsia="Times New Roman"/>
              </w:rPr>
              <w:t>B</w:t>
            </w:r>
          </w:p>
        </w:tc>
        <w:tc>
          <w:tcPr>
            <w:tcW w:w="1016" w:type="dxa"/>
          </w:tcPr>
          <w:p w:rsidR="00C53C9A" w:rsidRPr="00996A79" w:rsidRDefault="00C53C9A" w:rsidP="00C53C9A">
            <w:pPr>
              <w:rPr>
                <w:rFonts w:eastAsia="Times New Roman"/>
              </w:rPr>
            </w:pPr>
            <w:r w:rsidRPr="00996A79">
              <w:rPr>
                <w:rFonts w:eastAsia="Times New Roman"/>
              </w:rPr>
              <w:t>B</w:t>
            </w:r>
          </w:p>
        </w:tc>
        <w:tc>
          <w:tcPr>
            <w:tcW w:w="1013" w:type="dxa"/>
          </w:tcPr>
          <w:p w:rsidR="00C53C9A" w:rsidRPr="00996A79" w:rsidRDefault="00C53C9A" w:rsidP="00C53C9A">
            <w:pPr>
              <w:rPr>
                <w:rFonts w:eastAsia="Times New Roman"/>
              </w:rPr>
            </w:pPr>
            <w:r w:rsidRPr="00996A79">
              <w:rPr>
                <w:rFonts w:eastAsia="Times New Roman"/>
              </w:rPr>
              <w:t>B</w:t>
            </w:r>
          </w:p>
        </w:tc>
        <w:tc>
          <w:tcPr>
            <w:tcW w:w="1018" w:type="dxa"/>
          </w:tcPr>
          <w:p w:rsidR="00C53C9A" w:rsidRPr="00996A79" w:rsidRDefault="00C53C9A" w:rsidP="00C53C9A">
            <w:pPr>
              <w:rPr>
                <w:rFonts w:eastAsia="Times New Roman"/>
              </w:rPr>
            </w:pPr>
          </w:p>
        </w:tc>
        <w:tc>
          <w:tcPr>
            <w:tcW w:w="1003" w:type="dxa"/>
          </w:tcPr>
          <w:p w:rsidR="00C53C9A" w:rsidRPr="00996A79" w:rsidRDefault="00C53C9A" w:rsidP="00C53C9A">
            <w:pPr>
              <w:rPr>
                <w:rFonts w:eastAsia="Times New Roman"/>
              </w:rPr>
            </w:pPr>
            <w:r w:rsidRPr="00996A79">
              <w:rPr>
                <w:rFonts w:eastAsia="Times New Roman"/>
              </w:rPr>
              <w:t>B</w:t>
            </w:r>
          </w:p>
        </w:tc>
        <w:tc>
          <w:tcPr>
            <w:tcW w:w="1157" w:type="dxa"/>
          </w:tcPr>
          <w:p w:rsidR="00C53C9A" w:rsidRPr="00996A79" w:rsidRDefault="00C53C9A" w:rsidP="00C53C9A">
            <w:pPr>
              <w:rPr>
                <w:rFonts w:eastAsia="Times New Roman"/>
              </w:rPr>
            </w:pPr>
            <w:r w:rsidRPr="00996A79">
              <w:rPr>
                <w:rFonts w:eastAsia="Times New Roman"/>
              </w:rPr>
              <w:t>B</w:t>
            </w:r>
          </w:p>
        </w:tc>
      </w:tr>
      <w:tr w:rsidR="00C53C9A" w:rsidRPr="00996A79" w:rsidTr="002F4767">
        <w:trPr>
          <w:jc w:val="center"/>
        </w:trPr>
        <w:tc>
          <w:tcPr>
            <w:tcW w:w="1356" w:type="dxa"/>
            <w:vMerge/>
          </w:tcPr>
          <w:p w:rsidR="00C53C9A" w:rsidRPr="00996A79" w:rsidRDefault="00C53C9A" w:rsidP="00C53C9A"/>
        </w:tc>
        <w:tc>
          <w:tcPr>
            <w:tcW w:w="1586" w:type="dxa"/>
          </w:tcPr>
          <w:p w:rsidR="00C53C9A" w:rsidRPr="00996A79" w:rsidRDefault="00C53C9A" w:rsidP="00C53C9A">
            <w:pPr>
              <w:rPr>
                <w:rFonts w:eastAsia="Times New Roman"/>
              </w:rPr>
            </w:pPr>
            <w:r w:rsidRPr="00996A79">
              <w:rPr>
                <w:rFonts w:eastAsia="Times New Roman"/>
              </w:rPr>
              <w:t>Height</w:t>
            </w:r>
          </w:p>
        </w:tc>
        <w:tc>
          <w:tcPr>
            <w:tcW w:w="1010" w:type="dxa"/>
          </w:tcPr>
          <w:p w:rsidR="00C53C9A" w:rsidRPr="00996A79" w:rsidRDefault="00C53C9A" w:rsidP="00C53C9A">
            <w:pPr>
              <w:rPr>
                <w:rFonts w:eastAsia="Times New Roman"/>
              </w:rPr>
            </w:pPr>
            <w:r w:rsidRPr="00996A79">
              <w:rPr>
                <w:rFonts w:eastAsia="Times New Roman"/>
              </w:rPr>
              <w:t>B</w:t>
            </w:r>
          </w:p>
        </w:tc>
        <w:tc>
          <w:tcPr>
            <w:tcW w:w="1016" w:type="dxa"/>
          </w:tcPr>
          <w:p w:rsidR="00C53C9A" w:rsidRPr="00996A79" w:rsidRDefault="00C53C9A" w:rsidP="00C53C9A">
            <w:pPr>
              <w:rPr>
                <w:rFonts w:eastAsia="Times New Roman"/>
              </w:rPr>
            </w:pPr>
          </w:p>
        </w:tc>
        <w:tc>
          <w:tcPr>
            <w:tcW w:w="1013" w:type="dxa"/>
          </w:tcPr>
          <w:p w:rsidR="00C53C9A" w:rsidRPr="00996A79" w:rsidRDefault="00C53C9A" w:rsidP="00C53C9A">
            <w:pPr>
              <w:rPr>
                <w:rFonts w:eastAsia="Times New Roman"/>
              </w:rPr>
            </w:pPr>
            <w:r w:rsidRPr="00996A79">
              <w:rPr>
                <w:rFonts w:eastAsia="Times New Roman"/>
              </w:rPr>
              <w:t>B</w:t>
            </w:r>
          </w:p>
        </w:tc>
        <w:tc>
          <w:tcPr>
            <w:tcW w:w="1018" w:type="dxa"/>
          </w:tcPr>
          <w:p w:rsidR="00C53C9A" w:rsidRPr="00996A79" w:rsidRDefault="00C53C9A" w:rsidP="00C53C9A">
            <w:pPr>
              <w:rPr>
                <w:rFonts w:eastAsia="Times New Roman"/>
              </w:rPr>
            </w:pPr>
          </w:p>
        </w:tc>
        <w:tc>
          <w:tcPr>
            <w:tcW w:w="1003" w:type="dxa"/>
          </w:tcPr>
          <w:p w:rsidR="00C53C9A" w:rsidRPr="00996A79" w:rsidRDefault="00C53C9A" w:rsidP="00C53C9A">
            <w:pPr>
              <w:rPr>
                <w:rFonts w:eastAsia="Times New Roman"/>
              </w:rPr>
            </w:pPr>
            <w:r w:rsidRPr="00996A79">
              <w:rPr>
                <w:rFonts w:eastAsia="Times New Roman"/>
              </w:rPr>
              <w:t>F</w:t>
            </w:r>
          </w:p>
        </w:tc>
        <w:tc>
          <w:tcPr>
            <w:tcW w:w="1157" w:type="dxa"/>
          </w:tcPr>
          <w:p w:rsidR="00C53C9A" w:rsidRPr="00996A79" w:rsidRDefault="00C53C9A" w:rsidP="00C53C9A">
            <w:pPr>
              <w:rPr>
                <w:rFonts w:eastAsia="Times New Roman"/>
              </w:rPr>
            </w:pPr>
          </w:p>
        </w:tc>
      </w:tr>
      <w:tr w:rsidR="00C53C9A" w:rsidRPr="00996A79" w:rsidTr="002F4767">
        <w:trPr>
          <w:jc w:val="center"/>
        </w:trPr>
        <w:tc>
          <w:tcPr>
            <w:tcW w:w="1356" w:type="dxa"/>
            <w:vMerge/>
          </w:tcPr>
          <w:p w:rsidR="00C53C9A" w:rsidRPr="00996A79" w:rsidRDefault="00C53C9A" w:rsidP="00C53C9A"/>
        </w:tc>
        <w:tc>
          <w:tcPr>
            <w:tcW w:w="1586" w:type="dxa"/>
          </w:tcPr>
          <w:p w:rsidR="00C53C9A" w:rsidRPr="00996A79" w:rsidRDefault="00C53C9A" w:rsidP="00C53C9A">
            <w:pPr>
              <w:rPr>
                <w:rFonts w:eastAsia="Times New Roman"/>
              </w:rPr>
            </w:pPr>
            <w:r w:rsidRPr="00996A79">
              <w:rPr>
                <w:rFonts w:eastAsia="Times New Roman"/>
              </w:rPr>
              <w:t>Concentration</w:t>
            </w:r>
          </w:p>
        </w:tc>
        <w:tc>
          <w:tcPr>
            <w:tcW w:w="1010" w:type="dxa"/>
          </w:tcPr>
          <w:p w:rsidR="00C53C9A" w:rsidRPr="00996A79" w:rsidRDefault="00C53C9A" w:rsidP="00C53C9A">
            <w:pPr>
              <w:rPr>
                <w:rFonts w:eastAsia="Times New Roman"/>
              </w:rPr>
            </w:pPr>
          </w:p>
        </w:tc>
        <w:tc>
          <w:tcPr>
            <w:tcW w:w="1016" w:type="dxa"/>
          </w:tcPr>
          <w:p w:rsidR="00C53C9A" w:rsidRPr="00996A79" w:rsidRDefault="00C53C9A" w:rsidP="00C53C9A">
            <w:pPr>
              <w:rPr>
                <w:rFonts w:eastAsia="Times New Roman"/>
              </w:rPr>
            </w:pPr>
          </w:p>
        </w:tc>
        <w:tc>
          <w:tcPr>
            <w:tcW w:w="1013" w:type="dxa"/>
          </w:tcPr>
          <w:p w:rsidR="00C53C9A" w:rsidRPr="00996A79" w:rsidRDefault="00F37B38" w:rsidP="00C53C9A">
            <w:pPr>
              <w:rPr>
                <w:rFonts w:eastAsia="Times New Roman"/>
              </w:rPr>
            </w:pPr>
            <w:r>
              <w:rPr>
                <w:rFonts w:eastAsia="Times New Roman"/>
              </w:rPr>
              <w:t>B</w:t>
            </w:r>
          </w:p>
        </w:tc>
        <w:tc>
          <w:tcPr>
            <w:tcW w:w="1018" w:type="dxa"/>
          </w:tcPr>
          <w:p w:rsidR="00C53C9A" w:rsidRPr="00996A79" w:rsidRDefault="00C53C9A" w:rsidP="00C53C9A">
            <w:pPr>
              <w:rPr>
                <w:rFonts w:eastAsia="Times New Roman"/>
              </w:rPr>
            </w:pPr>
          </w:p>
        </w:tc>
        <w:tc>
          <w:tcPr>
            <w:tcW w:w="1003" w:type="dxa"/>
          </w:tcPr>
          <w:p w:rsidR="00C53C9A" w:rsidRPr="00996A79" w:rsidRDefault="00C53C9A" w:rsidP="00C53C9A">
            <w:pPr>
              <w:rPr>
                <w:rFonts w:eastAsia="Times New Roman"/>
              </w:rPr>
            </w:pPr>
            <w:r w:rsidRPr="00996A79">
              <w:rPr>
                <w:rFonts w:eastAsia="Times New Roman"/>
              </w:rPr>
              <w:t>F</w:t>
            </w:r>
          </w:p>
        </w:tc>
        <w:tc>
          <w:tcPr>
            <w:tcW w:w="1157" w:type="dxa"/>
          </w:tcPr>
          <w:p w:rsidR="00C53C9A" w:rsidRPr="00996A79" w:rsidRDefault="00C53C9A" w:rsidP="00C53C9A">
            <w:pPr>
              <w:rPr>
                <w:rFonts w:eastAsia="Times New Roman"/>
              </w:rPr>
            </w:pPr>
          </w:p>
        </w:tc>
      </w:tr>
      <w:tr w:rsidR="00C53C9A" w:rsidRPr="00996A79" w:rsidTr="002F4767">
        <w:trPr>
          <w:jc w:val="center"/>
        </w:trPr>
        <w:tc>
          <w:tcPr>
            <w:tcW w:w="1356" w:type="dxa"/>
            <w:vMerge w:val="restart"/>
          </w:tcPr>
          <w:p w:rsidR="00C53C9A" w:rsidRPr="00996A79" w:rsidRDefault="00C53C9A" w:rsidP="00C53C9A">
            <w:r w:rsidRPr="00996A79">
              <w:t>Atmospheric Composition</w:t>
            </w:r>
          </w:p>
        </w:tc>
        <w:tc>
          <w:tcPr>
            <w:tcW w:w="1586" w:type="dxa"/>
          </w:tcPr>
          <w:p w:rsidR="00C53C9A" w:rsidRPr="00996A79" w:rsidRDefault="00C53C9A" w:rsidP="00C53C9A">
            <w:pPr>
              <w:rPr>
                <w:rFonts w:eastAsia="Times New Roman"/>
              </w:rPr>
            </w:pPr>
            <w:r w:rsidRPr="00996A79">
              <w:rPr>
                <w:rFonts w:eastAsia="Times New Roman"/>
              </w:rPr>
              <w:t>Total Ozone</w:t>
            </w:r>
          </w:p>
        </w:tc>
        <w:tc>
          <w:tcPr>
            <w:tcW w:w="1010" w:type="dxa"/>
          </w:tcPr>
          <w:p w:rsidR="00C53C9A" w:rsidRPr="00996A79" w:rsidRDefault="00C53C9A" w:rsidP="00C53C9A">
            <w:pPr>
              <w:rPr>
                <w:rFonts w:eastAsia="Times New Roman"/>
              </w:rPr>
            </w:pPr>
            <w:r w:rsidRPr="00996A79">
              <w:rPr>
                <w:rFonts w:eastAsia="Times New Roman"/>
              </w:rPr>
              <w:t>F</w:t>
            </w:r>
          </w:p>
        </w:tc>
        <w:tc>
          <w:tcPr>
            <w:tcW w:w="1016" w:type="dxa"/>
          </w:tcPr>
          <w:p w:rsidR="00C53C9A" w:rsidRPr="00996A79" w:rsidRDefault="00C53C9A" w:rsidP="00C53C9A">
            <w:pPr>
              <w:rPr>
                <w:rFonts w:eastAsia="Times New Roman"/>
              </w:rPr>
            </w:pPr>
          </w:p>
        </w:tc>
        <w:tc>
          <w:tcPr>
            <w:tcW w:w="1013" w:type="dxa"/>
          </w:tcPr>
          <w:p w:rsidR="00C53C9A" w:rsidRPr="00996A79" w:rsidRDefault="00C53C9A" w:rsidP="00C53C9A">
            <w:pPr>
              <w:rPr>
                <w:rFonts w:eastAsia="Times New Roman"/>
              </w:rPr>
            </w:pPr>
            <w:r w:rsidRPr="00996A79">
              <w:rPr>
                <w:rFonts w:eastAsia="Times New Roman"/>
              </w:rPr>
              <w:t>B</w:t>
            </w:r>
          </w:p>
        </w:tc>
        <w:tc>
          <w:tcPr>
            <w:tcW w:w="1018" w:type="dxa"/>
          </w:tcPr>
          <w:p w:rsidR="00C53C9A" w:rsidRPr="00996A79" w:rsidRDefault="00C53C9A" w:rsidP="00C53C9A">
            <w:pPr>
              <w:rPr>
                <w:rFonts w:eastAsia="Times New Roman"/>
              </w:rPr>
            </w:pPr>
          </w:p>
        </w:tc>
        <w:tc>
          <w:tcPr>
            <w:tcW w:w="1003" w:type="dxa"/>
          </w:tcPr>
          <w:p w:rsidR="00C53C9A" w:rsidRPr="00996A79" w:rsidRDefault="00C53C9A" w:rsidP="00C53C9A">
            <w:pPr>
              <w:rPr>
                <w:rFonts w:eastAsia="Times New Roman"/>
              </w:rPr>
            </w:pPr>
            <w:r w:rsidRPr="00996A79">
              <w:rPr>
                <w:rFonts w:eastAsia="Times New Roman"/>
              </w:rPr>
              <w:t>B</w:t>
            </w:r>
          </w:p>
        </w:tc>
        <w:tc>
          <w:tcPr>
            <w:tcW w:w="1157" w:type="dxa"/>
          </w:tcPr>
          <w:p w:rsidR="00C53C9A" w:rsidRPr="00996A79" w:rsidRDefault="00C53C9A" w:rsidP="00C53C9A">
            <w:pPr>
              <w:rPr>
                <w:rFonts w:eastAsia="Times New Roman"/>
              </w:rPr>
            </w:pPr>
            <w:r w:rsidRPr="00996A79">
              <w:rPr>
                <w:rFonts w:eastAsia="Times New Roman"/>
              </w:rPr>
              <w:t>B</w:t>
            </w:r>
          </w:p>
        </w:tc>
      </w:tr>
      <w:tr w:rsidR="00C53C9A" w:rsidRPr="00996A79" w:rsidTr="002F4767">
        <w:trPr>
          <w:jc w:val="center"/>
        </w:trPr>
        <w:tc>
          <w:tcPr>
            <w:tcW w:w="1356" w:type="dxa"/>
            <w:vMerge/>
          </w:tcPr>
          <w:p w:rsidR="00C53C9A" w:rsidRPr="00996A79" w:rsidRDefault="00C53C9A" w:rsidP="00C53C9A">
            <w:pPr>
              <w:rPr>
                <w:rFonts w:eastAsia="Times New Roman"/>
              </w:rPr>
            </w:pPr>
          </w:p>
        </w:tc>
        <w:tc>
          <w:tcPr>
            <w:tcW w:w="1586" w:type="dxa"/>
          </w:tcPr>
          <w:p w:rsidR="00C53C9A" w:rsidRPr="00996A79" w:rsidRDefault="00C53C9A" w:rsidP="00C53C9A">
            <w:pPr>
              <w:rPr>
                <w:rFonts w:eastAsia="Times New Roman"/>
              </w:rPr>
            </w:pPr>
            <w:r w:rsidRPr="00996A79">
              <w:rPr>
                <w:rFonts w:eastAsia="Times New Roman"/>
              </w:rPr>
              <w:t>SO2 detection</w:t>
            </w:r>
          </w:p>
        </w:tc>
        <w:tc>
          <w:tcPr>
            <w:tcW w:w="1010" w:type="dxa"/>
          </w:tcPr>
          <w:p w:rsidR="00C53C9A" w:rsidRPr="00996A79" w:rsidRDefault="00C53C9A" w:rsidP="00C53C9A">
            <w:pPr>
              <w:rPr>
                <w:rFonts w:eastAsia="Times New Roman"/>
              </w:rPr>
            </w:pPr>
            <w:r w:rsidRPr="00996A79">
              <w:rPr>
                <w:rFonts w:eastAsia="Times New Roman"/>
              </w:rPr>
              <w:t>F</w:t>
            </w:r>
          </w:p>
        </w:tc>
        <w:tc>
          <w:tcPr>
            <w:tcW w:w="1016" w:type="dxa"/>
          </w:tcPr>
          <w:p w:rsidR="00C53C9A" w:rsidRPr="00996A79" w:rsidRDefault="00C53C9A" w:rsidP="00C53C9A">
            <w:pPr>
              <w:rPr>
                <w:rFonts w:eastAsia="Times New Roman"/>
              </w:rPr>
            </w:pPr>
          </w:p>
        </w:tc>
        <w:tc>
          <w:tcPr>
            <w:tcW w:w="1013" w:type="dxa"/>
          </w:tcPr>
          <w:p w:rsidR="00C53C9A" w:rsidRPr="00996A79" w:rsidRDefault="00F37B38" w:rsidP="00C53C9A">
            <w:pPr>
              <w:rPr>
                <w:rFonts w:eastAsia="Times New Roman"/>
              </w:rPr>
            </w:pPr>
            <w:r>
              <w:rPr>
                <w:rFonts w:eastAsia="Times New Roman"/>
              </w:rPr>
              <w:t>F</w:t>
            </w:r>
          </w:p>
        </w:tc>
        <w:tc>
          <w:tcPr>
            <w:tcW w:w="1018" w:type="dxa"/>
          </w:tcPr>
          <w:p w:rsidR="00C53C9A" w:rsidRPr="00996A79" w:rsidRDefault="00C53C9A" w:rsidP="00C53C9A">
            <w:pPr>
              <w:rPr>
                <w:rFonts w:eastAsia="Times New Roman"/>
              </w:rPr>
            </w:pPr>
          </w:p>
        </w:tc>
        <w:tc>
          <w:tcPr>
            <w:tcW w:w="1003" w:type="dxa"/>
          </w:tcPr>
          <w:p w:rsidR="00C53C9A" w:rsidRPr="00996A79" w:rsidRDefault="00C53C9A" w:rsidP="00C53C9A">
            <w:pPr>
              <w:rPr>
                <w:rFonts w:eastAsia="Times New Roman"/>
              </w:rPr>
            </w:pPr>
            <w:r w:rsidRPr="00996A79">
              <w:rPr>
                <w:rFonts w:eastAsia="Times New Roman"/>
              </w:rPr>
              <w:t>F</w:t>
            </w:r>
          </w:p>
        </w:tc>
        <w:tc>
          <w:tcPr>
            <w:tcW w:w="1157" w:type="dxa"/>
          </w:tcPr>
          <w:p w:rsidR="00C53C9A" w:rsidRPr="00996A79" w:rsidRDefault="00C53C9A" w:rsidP="00C53C9A">
            <w:pPr>
              <w:rPr>
                <w:rFonts w:eastAsia="Times New Roman"/>
              </w:rPr>
            </w:pPr>
          </w:p>
        </w:tc>
      </w:tr>
    </w:tbl>
    <w:p w:rsidR="00C53C9A" w:rsidRDefault="00C53C9A" w:rsidP="00747E63"/>
    <w:p w:rsidR="002F4767" w:rsidRPr="00996A79" w:rsidRDefault="002F4767" w:rsidP="002F4767">
      <w:r w:rsidRPr="00996A79">
        <w:t>The following sections give a brief overview of the various products.</w:t>
      </w:r>
    </w:p>
    <w:p w:rsidR="002F4767" w:rsidRPr="00996A79" w:rsidRDefault="002F4767" w:rsidP="002F4767">
      <w:pPr>
        <w:pStyle w:val="Heading3"/>
      </w:pPr>
      <w:r w:rsidRPr="00996A79">
        <w:t>Aerosol</w:t>
      </w:r>
    </w:p>
    <w:p w:rsidR="00C53C9A" w:rsidRPr="002F4767" w:rsidRDefault="002F4767" w:rsidP="00747E63">
      <w:pPr>
        <w:rPr>
          <w:lang w:val="en-GB"/>
        </w:rPr>
      </w:pPr>
      <w:r w:rsidRPr="00996A79">
        <w:rPr>
          <w:lang w:val="en-GB"/>
        </w:rPr>
        <w:t>Aerosol is an important component of the earth-atmosphere and ocean system.</w:t>
      </w:r>
      <w:r w:rsidRPr="00996A79">
        <w:t xml:space="preserve"> Aerosol particles scatter and absorb solar radiation and therefore have a direct impact on radiative processes. They also serve as the condensation nuclei</w:t>
      </w:r>
      <w:r>
        <w:t xml:space="preserve"> for the water</w:t>
      </w:r>
      <w:r w:rsidRPr="00996A79">
        <w:t xml:space="preserve"> and ice particles of clouds. Therefore modification of the aerosol properties will cause modification of the cloud properties. </w:t>
      </w:r>
      <w:r w:rsidR="008A5186">
        <w:t>Furthermore</w:t>
      </w:r>
      <w:r w:rsidR="008A5186" w:rsidRPr="00996A79">
        <w:t xml:space="preserve"> </w:t>
      </w:r>
      <w:r w:rsidRPr="00996A79">
        <w:t xml:space="preserve">they directly </w:t>
      </w:r>
      <w:r w:rsidRPr="00996A79">
        <w:rPr>
          <w:lang w:val="en-GB"/>
        </w:rPr>
        <w:t>affect the radiative forcing of climate and weather.</w:t>
      </w:r>
      <w:r>
        <w:rPr>
          <w:lang w:val="en-GB"/>
        </w:rPr>
        <w:t xml:space="preserve"> </w:t>
      </w:r>
      <w:r w:rsidR="008A5186">
        <w:rPr>
          <w:lang w:val="en-GB"/>
        </w:rPr>
        <w:t>A</w:t>
      </w:r>
      <w:r w:rsidRPr="00996A79">
        <w:rPr>
          <w:lang w:val="en-GB"/>
        </w:rPr>
        <w:t xml:space="preserve">erosols </w:t>
      </w:r>
      <w:r w:rsidR="008A5186">
        <w:rPr>
          <w:lang w:val="en-GB"/>
        </w:rPr>
        <w:t xml:space="preserve">also </w:t>
      </w:r>
      <w:r w:rsidRPr="00996A79">
        <w:rPr>
          <w:lang w:val="en-GB"/>
        </w:rPr>
        <w:t xml:space="preserve">play a role in atmospheric chemistry, providing sites where chemical reactions can take place, e.g. for the depletion of stratospheric ozone. </w:t>
      </w:r>
    </w:p>
    <w:p w:rsidR="002F4767" w:rsidRPr="002F4767" w:rsidRDefault="008A5186" w:rsidP="002F4767">
      <w:r>
        <w:t>Lifetime of aerosols</w:t>
      </w:r>
      <w:r w:rsidR="002F4767" w:rsidRPr="00996A79">
        <w:t xml:space="preserve"> can be very short (a few days) and their generation very dynamic, varying from hour to hour. </w:t>
      </w:r>
      <w:r>
        <w:t>They</w:t>
      </w:r>
      <w:r w:rsidRPr="00996A79">
        <w:t xml:space="preserve"> </w:t>
      </w:r>
      <w:r w:rsidR="002F4767" w:rsidRPr="00996A79">
        <w:t xml:space="preserve">can also have a very strong diurnal cycle, </w:t>
      </w:r>
      <w:r>
        <w:t>e.g. when</w:t>
      </w:r>
      <w:r w:rsidR="002F4767" w:rsidRPr="00996A79">
        <w:t xml:space="preserve"> generated through biomass burning in the tropics</w:t>
      </w:r>
      <w:r w:rsidR="002F4767">
        <w:t>.</w:t>
      </w:r>
      <w:r w:rsidR="002F4767" w:rsidRPr="00996A79">
        <w:t xml:space="preserve"> </w:t>
      </w:r>
      <w:r>
        <w:t>Aerosols</w:t>
      </w:r>
      <w:r w:rsidRPr="00996A79">
        <w:t xml:space="preserve"> </w:t>
      </w:r>
      <w:r w:rsidR="002F4767" w:rsidRPr="00996A79">
        <w:t xml:space="preserve">also </w:t>
      </w:r>
      <w:r w:rsidRPr="00996A79">
        <w:t>var</w:t>
      </w:r>
      <w:r>
        <w:t>y</w:t>
      </w:r>
      <w:r w:rsidRPr="00996A79">
        <w:t xml:space="preserve"> </w:t>
      </w:r>
      <w:r w:rsidR="002F4767" w:rsidRPr="00996A79">
        <w:t>from one region and ecosystem to another. Sulfate aerosol</w:t>
      </w:r>
      <w:r w:rsidR="00177A91">
        <w:t>s</w:t>
      </w:r>
      <w:r w:rsidR="002F4767" w:rsidRPr="00996A79">
        <w:t xml:space="preserve"> are</w:t>
      </w:r>
      <w:r w:rsidR="002F4767">
        <w:t xml:space="preserve"> produced from oxidation of sulph</w:t>
      </w:r>
      <w:r w:rsidR="002F4767" w:rsidRPr="00996A79">
        <w:t>ur dioxide emitted by industry and cars, oxidation that requires sun light, and therefore have a diurnal cycle. Dust is generated in desert and desert transition zones</w:t>
      </w:r>
      <w:r w:rsidR="002F4767">
        <w:t xml:space="preserve"> (see next section)</w:t>
      </w:r>
      <w:r w:rsidR="002F4767" w:rsidRPr="00996A79">
        <w:t xml:space="preserve">. </w:t>
      </w:r>
    </w:p>
    <w:p w:rsidR="002F4767" w:rsidRPr="002F4767" w:rsidRDefault="002F4767" w:rsidP="002F4767">
      <w:r w:rsidRPr="00996A79">
        <w:t xml:space="preserve">Various algorithms have already been employed for the derivation of aerosol parameters from geostationary satellite imagery data. These may rely on separating the fast changing information (aerosol) from slowly changing surface features (surface reflectances). </w:t>
      </w:r>
      <w:r>
        <w:t>In</w:t>
      </w:r>
      <w:r w:rsidRPr="00996A79">
        <w:t xml:space="preserve"> that respect it is also easier to derive the aerosol information over sea than land. Generating aerosols using geostationary satellite data </w:t>
      </w:r>
      <w:r>
        <w:t>provides the opportunity to derive aerosols over land exploiting the changing solar illumination angles during the day with a fixed viewing geometry, providing</w:t>
      </w:r>
      <w:r w:rsidRPr="00996A79">
        <w:rPr>
          <w:lang w:val="en-GB"/>
        </w:rPr>
        <w:t xml:space="preserve"> angular sampling of the surface BRDF </w:t>
      </w:r>
      <w:r w:rsidR="00D2086C">
        <w:rPr>
          <w:lang w:val="en-GB"/>
        </w:rPr>
        <w:t>(Bidi</w:t>
      </w:r>
      <w:r w:rsidR="00827B6A">
        <w:rPr>
          <w:lang w:val="en-GB"/>
        </w:rPr>
        <w:t xml:space="preserve">rectional Reflectance Distribution Function) </w:t>
      </w:r>
      <w:r w:rsidRPr="00996A79">
        <w:rPr>
          <w:lang w:val="en-GB"/>
        </w:rPr>
        <w:t>and/or aerosol scattering phase function</w:t>
      </w:r>
      <w:r w:rsidRPr="00996A79">
        <w:t>. However, these algorithms may then only provide a daily or three hourly aerosol estimate. Other methods, e.g. based on optimal estimation techniques, can provide aerosol parameters for every repeat cycle.</w:t>
      </w:r>
    </w:p>
    <w:p w:rsidR="002F4767" w:rsidRPr="002F4767" w:rsidRDefault="002F4767" w:rsidP="002F4767">
      <w:pPr>
        <w:rPr>
          <w:rFonts w:eastAsia="Times New Roman"/>
        </w:rPr>
      </w:pPr>
      <w:r>
        <w:t xml:space="preserve">The high temporal resolution </w:t>
      </w:r>
      <w:r w:rsidRPr="00996A79">
        <w:t xml:space="preserve">(e.g. every 15 minutes) </w:t>
      </w:r>
      <w:r>
        <w:t>gives</w:t>
      </w:r>
      <w:r w:rsidRPr="00996A79">
        <w:t xml:space="preserve"> a higher probability to </w:t>
      </w:r>
      <w:r>
        <w:t xml:space="preserve">acquire cloud free observations during a day </w:t>
      </w:r>
      <w:r w:rsidRPr="00996A79">
        <w:t xml:space="preserve">than with polar orbiting satellite data, even taking the slightly poorer horizontal resolution into account. </w:t>
      </w:r>
    </w:p>
    <w:p w:rsidR="00C53C9A" w:rsidRDefault="002F4767" w:rsidP="00747E63">
      <w:r>
        <w:t xml:space="preserve">In addition to the significant role in radiative balance affecting </w:t>
      </w:r>
      <w:r w:rsidRPr="000A441F">
        <w:rPr>
          <w:b/>
        </w:rPr>
        <w:t>SBA/Climate</w:t>
      </w:r>
      <w:r>
        <w:t xml:space="preserve"> and </w:t>
      </w:r>
      <w:r w:rsidRPr="000A441F">
        <w:rPr>
          <w:b/>
        </w:rPr>
        <w:t>SBA/Weather</w:t>
      </w:r>
      <w:r>
        <w:t xml:space="preserve">, aerosols are also directly linked to air quality and hence to </w:t>
      </w:r>
      <w:r w:rsidRPr="000A441F">
        <w:rPr>
          <w:b/>
        </w:rPr>
        <w:t>SBA/Health</w:t>
      </w:r>
      <w:r>
        <w:t>, e.g. in relation to environmental stress and respiratory problems. Aerosol emissions from strong events like volcanic eruptions and wild</w:t>
      </w:r>
      <w:r w:rsidR="00827B6A">
        <w:t xml:space="preserve"> </w:t>
      </w:r>
      <w:r>
        <w:t xml:space="preserve">land fire are also significant and hence linked to </w:t>
      </w:r>
      <w:r w:rsidRPr="000A441F">
        <w:rPr>
          <w:b/>
        </w:rPr>
        <w:t>SBA/Disasters</w:t>
      </w:r>
      <w:r>
        <w:t>. In particular for the latter SBA, geostationary data provide significant advantages over polar orbiting data due to the high temporal coverage. However, there are also limitations for the geostationary observations, e.g</w:t>
      </w:r>
      <w:r w:rsidR="00A979D9">
        <w:t>.</w:t>
      </w:r>
      <w:r>
        <w:t xml:space="preserve"> on particular matters that emphasize the need of synergetic observations with low Earth orbit satellites.</w:t>
      </w:r>
    </w:p>
    <w:p w:rsidR="002F4767" w:rsidRDefault="002F4767" w:rsidP="002F4767">
      <w:pPr>
        <w:keepNext/>
        <w:jc w:val="center"/>
      </w:pPr>
      <w:r w:rsidRPr="002F4767">
        <w:rPr>
          <w:noProof/>
          <w:lang w:val="en-US" w:eastAsia="en-US"/>
        </w:rPr>
        <w:drawing>
          <wp:inline distT="0" distB="0" distL="0" distR="0">
            <wp:extent cx="3379593" cy="3372307"/>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83698" cy="3376403"/>
                    </a:xfrm>
                    <a:prstGeom prst="rect">
                      <a:avLst/>
                    </a:prstGeom>
                    <a:noFill/>
                    <a:ln w="9525">
                      <a:noFill/>
                      <a:miter lim="800000"/>
                      <a:headEnd/>
                      <a:tailEnd/>
                    </a:ln>
                  </pic:spPr>
                </pic:pic>
              </a:graphicData>
            </a:graphic>
          </wp:inline>
        </w:drawing>
      </w:r>
    </w:p>
    <w:p w:rsidR="00C53C9A" w:rsidRDefault="002F4767" w:rsidP="002F4767">
      <w:pPr>
        <w:pStyle w:val="Caption"/>
        <w:jc w:val="center"/>
      </w:pPr>
      <w:bookmarkStart w:id="31" w:name="_Toc460923867"/>
      <w:r>
        <w:t xml:space="preserve">Figure </w:t>
      </w:r>
      <w:r w:rsidR="00E27A82">
        <w:fldChar w:fldCharType="begin"/>
      </w:r>
      <w:r w:rsidR="002D15AB">
        <w:instrText xml:space="preserve"> SEQ Figure \* ARABIC </w:instrText>
      </w:r>
      <w:r w:rsidR="00E27A82">
        <w:fldChar w:fldCharType="separate"/>
      </w:r>
      <w:r w:rsidR="00ED66C2">
        <w:rPr>
          <w:noProof/>
        </w:rPr>
        <w:t>10</w:t>
      </w:r>
      <w:r w:rsidR="00E27A82">
        <w:fldChar w:fldCharType="end"/>
      </w:r>
      <w:r w:rsidR="00280800">
        <w:t>:</w:t>
      </w:r>
      <w:r>
        <w:t xml:space="preserve"> Map of the AOT </w:t>
      </w:r>
      <w:r w:rsidR="002C34C0">
        <w:t xml:space="preserve">(colour scale 0-0.7) </w:t>
      </w:r>
      <w:r>
        <w:t>at 635 nm for the 16</w:t>
      </w:r>
      <w:r w:rsidRPr="002F4767">
        <w:rPr>
          <w:vertAlign w:val="superscript"/>
        </w:rPr>
        <w:t>th</w:t>
      </w:r>
      <w:r>
        <w:t xml:space="preserve"> July 2006 at 12:00 UT (</w:t>
      </w:r>
      <w:r w:rsidR="00827B6A">
        <w:t xml:space="preserve">Jolivet </w:t>
      </w:r>
      <w:r>
        <w:t>et al.</w:t>
      </w:r>
      <w:r w:rsidR="005834B0">
        <w:t>,</w:t>
      </w:r>
      <w:r>
        <w:t xml:space="preserve"> </w:t>
      </w:r>
      <w:r w:rsidR="00827B6A">
        <w:t>2008</w:t>
      </w:r>
      <w:r>
        <w:t>).</w:t>
      </w:r>
      <w:bookmarkEnd w:id="31"/>
    </w:p>
    <w:p w:rsidR="00C53C9A" w:rsidRDefault="00C53C9A" w:rsidP="00747E63"/>
    <w:p w:rsidR="001F3097" w:rsidRDefault="001F3097" w:rsidP="001F3097">
      <w:pPr>
        <w:keepNext/>
        <w:jc w:val="center"/>
      </w:pPr>
      <w:r w:rsidRPr="001F3097">
        <w:rPr>
          <w:noProof/>
          <w:lang w:val="en-US" w:eastAsia="en-US"/>
        </w:rPr>
        <w:drawing>
          <wp:inline distT="0" distB="0" distL="0" distR="0">
            <wp:extent cx="2982915" cy="2450592"/>
            <wp:effectExtent l="19050" t="0" r="7935" b="0"/>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2982915" cy="2450592"/>
                    </a:xfrm>
                    <a:prstGeom prst="rect">
                      <a:avLst/>
                    </a:prstGeom>
                    <a:noFill/>
                    <a:ln w="9525">
                      <a:noFill/>
                      <a:miter lim="800000"/>
                      <a:headEnd/>
                      <a:tailEnd/>
                    </a:ln>
                  </pic:spPr>
                </pic:pic>
              </a:graphicData>
            </a:graphic>
          </wp:inline>
        </w:drawing>
      </w:r>
      <w:r w:rsidRPr="001F3097">
        <w:rPr>
          <w:noProof/>
          <w:lang w:val="en-US" w:eastAsia="en-US"/>
        </w:rPr>
        <w:drawing>
          <wp:inline distT="0" distB="0" distL="0" distR="0">
            <wp:extent cx="2965062" cy="2435927"/>
            <wp:effectExtent l="19050" t="0" r="6738"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a:stretch>
                      <a:fillRect/>
                    </a:stretch>
                  </pic:blipFill>
                  <pic:spPr bwMode="auto">
                    <a:xfrm>
                      <a:off x="0" y="0"/>
                      <a:ext cx="2965062" cy="2435927"/>
                    </a:xfrm>
                    <a:prstGeom prst="rect">
                      <a:avLst/>
                    </a:prstGeom>
                    <a:noFill/>
                    <a:ln w="9525">
                      <a:noFill/>
                      <a:miter lim="800000"/>
                      <a:headEnd/>
                      <a:tailEnd/>
                    </a:ln>
                  </pic:spPr>
                </pic:pic>
              </a:graphicData>
            </a:graphic>
          </wp:inline>
        </w:drawing>
      </w:r>
    </w:p>
    <w:p w:rsidR="00C53C9A" w:rsidRDefault="001F3097" w:rsidP="00A2419B">
      <w:pPr>
        <w:pStyle w:val="Caption"/>
        <w:jc w:val="center"/>
      </w:pPr>
      <w:bookmarkStart w:id="32" w:name="_Toc460923868"/>
      <w:r>
        <w:t xml:space="preserve">Figure </w:t>
      </w:r>
      <w:r w:rsidR="00E27A82">
        <w:fldChar w:fldCharType="begin"/>
      </w:r>
      <w:r w:rsidR="002D15AB">
        <w:instrText xml:space="preserve"> SEQ Figure \* ARABIC </w:instrText>
      </w:r>
      <w:r w:rsidR="00E27A82">
        <w:fldChar w:fldCharType="separate"/>
      </w:r>
      <w:r w:rsidR="00ED66C2">
        <w:rPr>
          <w:noProof/>
        </w:rPr>
        <w:t>11</w:t>
      </w:r>
      <w:r w:rsidR="00E27A82">
        <w:fldChar w:fldCharType="end"/>
      </w:r>
      <w:r w:rsidR="00280800">
        <w:t>:</w:t>
      </w:r>
      <w:r>
        <w:t xml:space="preserve"> </w:t>
      </w:r>
      <w:r w:rsidR="00177A91">
        <w:t>AOT at 500 nm (left and Angströ</w:t>
      </w:r>
      <w:r>
        <w:t>m coefficient (right) using Himawari-8 data over ocean (</w:t>
      </w:r>
      <w:r w:rsidR="00827B6A">
        <w:t>Hashimoto et. al</w:t>
      </w:r>
      <w:r w:rsidR="005834B0">
        <w:t>.</w:t>
      </w:r>
      <w:r w:rsidR="00827B6A">
        <w:t>, 2015</w:t>
      </w:r>
      <w:r>
        <w:t>).</w:t>
      </w:r>
      <w:bookmarkEnd w:id="32"/>
    </w:p>
    <w:p w:rsidR="00A2419B" w:rsidRPr="00A2419B" w:rsidRDefault="00A2419B" w:rsidP="00A2419B">
      <w:pPr>
        <w:pStyle w:val="Heading3"/>
      </w:pPr>
      <w:r w:rsidRPr="00913D53">
        <w:t>Dust</w:t>
      </w:r>
    </w:p>
    <w:p w:rsidR="00C53C9A" w:rsidRPr="00A2419B" w:rsidRDefault="00A2419B" w:rsidP="00747E63">
      <w:pPr>
        <w:rPr>
          <w:lang w:val="en-GB"/>
        </w:rPr>
      </w:pPr>
      <w:r w:rsidRPr="00996A79">
        <w:rPr>
          <w:lang w:val="en-GB"/>
        </w:rPr>
        <w:t>The strong impact of dust outbreaks on human activities has significantly increased the interest of</w:t>
      </w:r>
      <w:r w:rsidR="00177A91">
        <w:rPr>
          <w:lang w:val="en-GB"/>
        </w:rPr>
        <w:t xml:space="preserve"> </w:t>
      </w:r>
      <w:r w:rsidRPr="00996A79">
        <w:rPr>
          <w:lang w:val="en-GB"/>
        </w:rPr>
        <w:t>scientific community in developing efficient monitoring sys</w:t>
      </w:r>
      <w:r>
        <w:rPr>
          <w:lang w:val="en-GB"/>
        </w:rPr>
        <w:t xml:space="preserve">tems capable of detecting them and </w:t>
      </w:r>
      <w:r w:rsidRPr="00996A79">
        <w:rPr>
          <w:lang w:val="en-GB"/>
        </w:rPr>
        <w:t>supporting</w:t>
      </w:r>
      <w:r w:rsidR="00177A91">
        <w:rPr>
          <w:lang w:val="en-GB"/>
        </w:rPr>
        <w:t xml:space="preserve"> </w:t>
      </w:r>
      <w:r w:rsidRPr="00996A79">
        <w:rPr>
          <w:lang w:val="en-GB"/>
        </w:rPr>
        <w:t xml:space="preserve">activities devoted to mitigate their effects. </w:t>
      </w:r>
    </w:p>
    <w:p w:rsidR="00A2419B" w:rsidRPr="00996A79" w:rsidRDefault="00A2419B" w:rsidP="002C34C0">
      <w:pPr>
        <w:spacing w:after="240"/>
        <w:rPr>
          <w:lang w:val="en-GB"/>
        </w:rPr>
      </w:pPr>
      <w:r w:rsidRPr="00996A79">
        <w:rPr>
          <w:lang w:val="en-GB"/>
        </w:rPr>
        <w:t>Dust outbreaks have strong implications on climate, environment</w:t>
      </w:r>
      <w:r>
        <w:rPr>
          <w:lang w:val="en-GB"/>
        </w:rPr>
        <w:t xml:space="preserve"> </w:t>
      </w:r>
      <w:r w:rsidRPr="00996A79">
        <w:rPr>
          <w:lang w:val="en-GB"/>
        </w:rPr>
        <w:t xml:space="preserve">and human activities. </w:t>
      </w:r>
      <w:r w:rsidR="00177A91">
        <w:rPr>
          <w:lang w:val="en-GB"/>
        </w:rPr>
        <w:t>D</w:t>
      </w:r>
      <w:r w:rsidR="00177A91" w:rsidRPr="00996A79">
        <w:rPr>
          <w:lang w:val="en-GB"/>
        </w:rPr>
        <w:t>ust injected into the atmosphere contributes</w:t>
      </w:r>
      <w:r w:rsidRPr="00996A79">
        <w:rPr>
          <w:lang w:val="en-GB"/>
        </w:rPr>
        <w:t xml:space="preserve"> to climate</w:t>
      </w:r>
      <w:r>
        <w:rPr>
          <w:lang w:val="en-GB"/>
        </w:rPr>
        <w:t xml:space="preserve"> </w:t>
      </w:r>
      <w:r w:rsidRPr="00996A79">
        <w:rPr>
          <w:lang w:val="en-GB"/>
        </w:rPr>
        <w:t>changes</w:t>
      </w:r>
      <w:r w:rsidR="00177A91">
        <w:rPr>
          <w:lang w:val="en-GB"/>
        </w:rPr>
        <w:t>, impact human health and e.g.</w:t>
      </w:r>
      <w:r>
        <w:rPr>
          <w:lang w:val="en-GB"/>
        </w:rPr>
        <w:t xml:space="preserve"> Saharan dust transported to the Atlantic have an impact on cyclogenesis. </w:t>
      </w:r>
      <w:r w:rsidRPr="00996A79">
        <w:rPr>
          <w:lang w:val="en-GB"/>
        </w:rPr>
        <w:t xml:space="preserve">Visible and </w:t>
      </w:r>
      <w:r>
        <w:rPr>
          <w:lang w:val="en-GB"/>
        </w:rPr>
        <w:t>i</w:t>
      </w:r>
      <w:r w:rsidRPr="00996A79">
        <w:rPr>
          <w:lang w:val="en-GB"/>
        </w:rPr>
        <w:t>nfrared Image</w:t>
      </w:r>
      <w:r>
        <w:rPr>
          <w:lang w:val="en-GB"/>
        </w:rPr>
        <w:t>r</w:t>
      </w:r>
      <w:r w:rsidRPr="00996A79">
        <w:rPr>
          <w:lang w:val="en-GB"/>
        </w:rPr>
        <w:t>y</w:t>
      </w:r>
      <w:r>
        <w:rPr>
          <w:lang w:val="en-GB"/>
        </w:rPr>
        <w:t>,</w:t>
      </w:r>
      <w:r w:rsidRPr="00996A79">
        <w:rPr>
          <w:lang w:val="en-GB"/>
        </w:rPr>
        <w:t xml:space="preserve"> if properly processed and integrated with</w:t>
      </w:r>
      <w:r>
        <w:rPr>
          <w:lang w:val="en-GB"/>
        </w:rPr>
        <w:t xml:space="preserve"> </w:t>
      </w:r>
      <w:r w:rsidRPr="00996A79">
        <w:rPr>
          <w:lang w:val="en-GB"/>
        </w:rPr>
        <w:t>information furnished by ground-based systems</w:t>
      </w:r>
      <w:r>
        <w:rPr>
          <w:lang w:val="en-GB"/>
        </w:rPr>
        <w:t xml:space="preserve">, can </w:t>
      </w:r>
      <w:r w:rsidRPr="00996A79">
        <w:rPr>
          <w:lang w:val="en-GB"/>
        </w:rPr>
        <w:t xml:space="preserve">indeed </w:t>
      </w:r>
      <w:r>
        <w:rPr>
          <w:lang w:val="en-GB"/>
        </w:rPr>
        <w:t xml:space="preserve">be </w:t>
      </w:r>
      <w:r w:rsidRPr="00996A79">
        <w:rPr>
          <w:lang w:val="en-GB"/>
        </w:rPr>
        <w:t>effectively used to</w:t>
      </w:r>
      <w:r>
        <w:rPr>
          <w:lang w:val="en-GB"/>
        </w:rPr>
        <w:t xml:space="preserve"> </w:t>
      </w:r>
      <w:r w:rsidRPr="00996A79">
        <w:rPr>
          <w:lang w:val="en-GB"/>
        </w:rPr>
        <w:t>track and characterize dust outbreaks also in the framework of operational early warning systems.</w:t>
      </w:r>
      <w:r>
        <w:rPr>
          <w:lang w:val="en-GB"/>
        </w:rPr>
        <w:t xml:space="preserve"> </w:t>
      </w:r>
      <w:r w:rsidRPr="00996A79">
        <w:rPr>
          <w:lang w:val="en-GB"/>
        </w:rPr>
        <w:t>To detect dust from space several methods have been proposed through the years</w:t>
      </w:r>
      <w:r>
        <w:rPr>
          <w:lang w:val="en-GB"/>
        </w:rPr>
        <w:t>.</w:t>
      </w:r>
      <w:r w:rsidRPr="00996A79">
        <w:rPr>
          <w:lang w:val="en-GB"/>
        </w:rPr>
        <w:t xml:space="preserve"> Many of these</w:t>
      </w:r>
      <w:r>
        <w:rPr>
          <w:lang w:val="en-GB"/>
        </w:rPr>
        <w:t xml:space="preserve"> </w:t>
      </w:r>
      <w:r w:rsidRPr="00996A79">
        <w:rPr>
          <w:lang w:val="en-GB"/>
        </w:rPr>
        <w:t>techniques exploit the reverse absorption behaviour shown by silicate particles (the main minerals in</w:t>
      </w:r>
      <w:r>
        <w:rPr>
          <w:lang w:val="en-GB"/>
        </w:rPr>
        <w:t xml:space="preserve"> </w:t>
      </w:r>
      <w:r w:rsidRPr="00996A79">
        <w:rPr>
          <w:lang w:val="en-GB"/>
        </w:rPr>
        <w:t>the Saharan dust) at 11 and 12 μm wavelengths (split-window), in comparison with ice crystal and</w:t>
      </w:r>
      <w:r>
        <w:rPr>
          <w:lang w:val="en-GB"/>
        </w:rPr>
        <w:t xml:space="preserve"> </w:t>
      </w:r>
      <w:r w:rsidRPr="00996A79">
        <w:rPr>
          <w:lang w:val="en-GB"/>
        </w:rPr>
        <w:t>water droplets t</w:t>
      </w:r>
      <w:r>
        <w:rPr>
          <w:lang w:val="en-GB"/>
        </w:rPr>
        <w:t xml:space="preserve">ypical of meteorological clouds. </w:t>
      </w:r>
      <w:r w:rsidRPr="00996A79">
        <w:rPr>
          <w:lang w:val="en-GB"/>
        </w:rPr>
        <w:t>More advanced methods have shown that</w:t>
      </w:r>
      <w:r>
        <w:rPr>
          <w:lang w:val="en-GB"/>
        </w:rPr>
        <w:t xml:space="preserve"> </w:t>
      </w:r>
      <w:r w:rsidRPr="00996A79">
        <w:rPr>
          <w:lang w:val="en-GB"/>
        </w:rPr>
        <w:t>improvements in dust outbreaks identification from space are definitively possible, although some</w:t>
      </w:r>
      <w:r>
        <w:rPr>
          <w:lang w:val="en-GB"/>
        </w:rPr>
        <w:t xml:space="preserve"> limitations still remain.</w:t>
      </w:r>
    </w:p>
    <w:p w:rsidR="00A2419B" w:rsidRDefault="00A2419B" w:rsidP="00A2419B">
      <w:pPr>
        <w:keepNext/>
        <w:jc w:val="center"/>
      </w:pPr>
      <w:r w:rsidRPr="00A2419B">
        <w:rPr>
          <w:noProof/>
          <w:lang w:val="en-US" w:eastAsia="en-US"/>
        </w:rPr>
        <w:drawing>
          <wp:inline distT="0" distB="0" distL="0" distR="0">
            <wp:extent cx="6081500" cy="2661413"/>
            <wp:effectExtent l="19050" t="0" r="0" b="0"/>
            <wp:docPr id="13" name="Picture 5" descr="Figure-1-RGB-and-dust-detection-technique-for-image-at-2011-09-01-1045-GMT-Left-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RGB-and-dust-detection-technique-for-image-at-2011-09-01-1045-GMT-Left-108.png"/>
                    <pic:cNvPicPr/>
                  </pic:nvPicPr>
                  <pic:blipFill>
                    <a:blip r:embed="rId37" cstate="print"/>
                    <a:stretch>
                      <a:fillRect/>
                    </a:stretch>
                  </pic:blipFill>
                  <pic:spPr>
                    <a:xfrm>
                      <a:off x="0" y="0"/>
                      <a:ext cx="6082472" cy="2661838"/>
                    </a:xfrm>
                    <a:prstGeom prst="rect">
                      <a:avLst/>
                    </a:prstGeom>
                  </pic:spPr>
                </pic:pic>
              </a:graphicData>
            </a:graphic>
          </wp:inline>
        </w:drawing>
      </w:r>
    </w:p>
    <w:p w:rsidR="00C53C9A" w:rsidRDefault="00A2419B" w:rsidP="00BC7D2F">
      <w:pPr>
        <w:pStyle w:val="Caption"/>
        <w:jc w:val="center"/>
      </w:pPr>
      <w:bookmarkStart w:id="33" w:name="_Toc460923869"/>
      <w:r>
        <w:t xml:space="preserve">Figure </w:t>
      </w:r>
      <w:r w:rsidR="00E27A82">
        <w:fldChar w:fldCharType="begin"/>
      </w:r>
      <w:r w:rsidR="002D15AB">
        <w:instrText xml:space="preserve"> SEQ Figure \* ARABIC </w:instrText>
      </w:r>
      <w:r w:rsidR="00E27A82">
        <w:fldChar w:fldCharType="separate"/>
      </w:r>
      <w:r w:rsidR="00ED66C2">
        <w:rPr>
          <w:noProof/>
        </w:rPr>
        <w:t>12</w:t>
      </w:r>
      <w:r w:rsidR="00E27A82">
        <w:fldChar w:fldCharType="end"/>
      </w:r>
      <w:r w:rsidR="00280800">
        <w:t>:</w:t>
      </w:r>
      <w:r>
        <w:t xml:space="preserve"> </w:t>
      </w:r>
      <w:r w:rsidR="00BC7D2F" w:rsidRPr="00BC7D2F">
        <w:rPr>
          <w:bCs w:val="0"/>
          <w:color w:val="00B0F0"/>
          <w:szCs w:val="20"/>
          <w:lang w:val="en-GB"/>
        </w:rPr>
        <w:t>Dust detection using MSG/SEVIRI. Left RGB composition for dust, right quantitative retrieval (channel 7, 9, 10 = 8.70, 10.80, 12.0 micron). (Romano et al.</w:t>
      </w:r>
      <w:r w:rsidR="005834B0">
        <w:rPr>
          <w:bCs w:val="0"/>
          <w:color w:val="00B0F0"/>
          <w:szCs w:val="20"/>
          <w:lang w:val="en-GB"/>
        </w:rPr>
        <w:t>,</w:t>
      </w:r>
      <w:r w:rsidR="00827B6A">
        <w:rPr>
          <w:bCs w:val="0"/>
          <w:color w:val="00B0F0"/>
          <w:szCs w:val="20"/>
          <w:lang w:val="en-GB"/>
        </w:rPr>
        <w:t>2013</w:t>
      </w:r>
      <w:r w:rsidR="00BC7D2F" w:rsidRPr="00BC7D2F">
        <w:rPr>
          <w:bCs w:val="0"/>
          <w:color w:val="00B0F0"/>
          <w:szCs w:val="20"/>
          <w:lang w:val="en-GB"/>
        </w:rPr>
        <w:t>).</w:t>
      </w:r>
      <w:bookmarkEnd w:id="33"/>
    </w:p>
    <w:p w:rsidR="00BC7D2F" w:rsidRPr="00996A79" w:rsidRDefault="00BC7D2F" w:rsidP="00BC7D2F">
      <w:r>
        <w:t>With respect to the Societal Benefit Areas, dust has a</w:t>
      </w:r>
      <w:r w:rsidR="002C34C0">
        <w:t xml:space="preserve"> </w:t>
      </w:r>
      <w:r>
        <w:t>strong impact on</w:t>
      </w:r>
      <w:r w:rsidR="002C34C0">
        <w:t xml:space="preserve"> </w:t>
      </w:r>
      <w:r w:rsidRPr="000A441F">
        <w:rPr>
          <w:b/>
        </w:rPr>
        <w:t>SBA/Climate</w:t>
      </w:r>
      <w:r>
        <w:t xml:space="preserve"> and </w:t>
      </w:r>
      <w:r w:rsidRPr="000A441F">
        <w:rPr>
          <w:b/>
        </w:rPr>
        <w:t>SBA/Weather</w:t>
      </w:r>
      <w:r>
        <w:t xml:space="preserve">. It has also a strong important role in air quality hence to </w:t>
      </w:r>
      <w:r w:rsidRPr="000A441F">
        <w:rPr>
          <w:b/>
        </w:rPr>
        <w:t>SBA/Health</w:t>
      </w:r>
      <w:r>
        <w:t xml:space="preserve">, e.g. in relation to environmental stress and respiratory problems. </w:t>
      </w:r>
      <w:r w:rsidR="002C34C0">
        <w:t>Dust from strong events like desert storms is</w:t>
      </w:r>
      <w:r>
        <w:t xml:space="preserve"> also significant and hence linked to </w:t>
      </w:r>
      <w:r w:rsidRPr="000A441F">
        <w:rPr>
          <w:b/>
        </w:rPr>
        <w:t>SBA/Disasters</w:t>
      </w:r>
      <w:r>
        <w:t xml:space="preserve">. In particular for the latter SBA, geostationary data provide significant advantages over polar orbiting data due to the high temporal coverage. Furthermore strong dust outbreaks impact solar insolation and can have an impact on the short term availability of solar power, as well as accumulate on the collection surfaces of solar generators and so temporarily reduce their efficiency. Hence it also plays a role in </w:t>
      </w:r>
      <w:r w:rsidRPr="00423A5F">
        <w:rPr>
          <w:b/>
        </w:rPr>
        <w:t>SBA/Energy</w:t>
      </w:r>
      <w:r>
        <w:t>.</w:t>
      </w:r>
    </w:p>
    <w:p w:rsidR="00BC7D2F" w:rsidRPr="00BC7D2F" w:rsidRDefault="00BC7D2F" w:rsidP="00BC7D2F">
      <w:pPr>
        <w:pStyle w:val="Heading3"/>
        <w:rPr>
          <w:lang w:val="en-GB"/>
        </w:rPr>
      </w:pPr>
      <w:r w:rsidRPr="00996A79">
        <w:rPr>
          <w:lang w:val="en-GB"/>
        </w:rPr>
        <w:t>Volcanic Ash</w:t>
      </w:r>
    </w:p>
    <w:p w:rsidR="002C34C0" w:rsidRDefault="00371CF9" w:rsidP="00371CF9">
      <w:r w:rsidRPr="00996A79">
        <w:t xml:space="preserve">Volcanic eruptions have been monitored with geostationary satellite imagery data for more than 30 years. The early geostationary imagers had only very limited capabilities for ash detection and basically single channel approaches, using the visible and infrared window bands, were used. Whilst the use of these channels enables the detection of strong eruptions they rely on human interpretation and would only be valid for areas with thick ash clouds. As the capabilities of the geostationary imagers have increased also the detection algorithms have been improved. Split-window methods based on the temperature difference observed with two infrared channels provided significant improvements in the detection capabilities. </w:t>
      </w:r>
    </w:p>
    <w:p w:rsidR="00371CF9" w:rsidRPr="00996A79" w:rsidRDefault="00371CF9" w:rsidP="00371CF9">
      <w:r w:rsidRPr="00996A79">
        <w:t>Today, new techniques</w:t>
      </w:r>
      <w:r>
        <w:t>,</w:t>
      </w:r>
      <w:r w:rsidRPr="00996A79">
        <w:t xml:space="preserve"> </w:t>
      </w:r>
      <w:r>
        <w:t>that utilize</w:t>
      </w:r>
      <w:r w:rsidRPr="00996A79">
        <w:t xml:space="preserve"> </w:t>
      </w:r>
      <w:r>
        <w:t>a broader range of</w:t>
      </w:r>
      <w:r w:rsidRPr="00996A79">
        <w:t xml:space="preserve"> multispectral </w:t>
      </w:r>
      <w:r>
        <w:t>measurements</w:t>
      </w:r>
      <w:r w:rsidRPr="00996A79">
        <w:t xml:space="preserve"> </w:t>
      </w:r>
      <w:r>
        <w:t>provided by</w:t>
      </w:r>
      <w:r w:rsidRPr="00996A79">
        <w:t xml:space="preserve"> geostationary imagers</w:t>
      </w:r>
      <w:r>
        <w:t xml:space="preserve"> combined</w:t>
      </w:r>
      <w:r w:rsidRPr="00996A79">
        <w:t xml:space="preserve"> with </w:t>
      </w:r>
      <w:r>
        <w:t>temporal information and more advanced algorithms, are utilized</w:t>
      </w:r>
      <w:r w:rsidRPr="00996A79">
        <w:t>. These techniques</w:t>
      </w:r>
      <w:r>
        <w:t>, which are fully automated, also allow ash cloud properties (e.g. mass loading and height) to be estimated.  In addition, some current geostationary sensors, and most future geostationary sensors, allow for SO</w:t>
      </w:r>
      <w:r>
        <w:rPr>
          <w:vertAlign w:val="subscript"/>
        </w:rPr>
        <w:t>2</w:t>
      </w:r>
      <w:r>
        <w:t xml:space="preserve"> detection and tracking.</w:t>
      </w:r>
    </w:p>
    <w:p w:rsidR="00BC7D2F" w:rsidRDefault="00BC7D2F" w:rsidP="00BC7D2F">
      <w:pPr>
        <w:keepNext/>
        <w:jc w:val="center"/>
      </w:pPr>
      <w:r w:rsidRPr="00BC7D2F">
        <w:rPr>
          <w:noProof/>
          <w:lang w:val="en-US" w:eastAsia="en-US"/>
        </w:rPr>
        <w:drawing>
          <wp:inline distT="0" distB="0" distL="0" distR="0">
            <wp:extent cx="5993323" cy="4926842"/>
            <wp:effectExtent l="19050" t="0" r="7427"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995716" cy="4928809"/>
                    </a:xfrm>
                    <a:prstGeom prst="rect">
                      <a:avLst/>
                    </a:prstGeom>
                    <a:noFill/>
                    <a:ln w="9525">
                      <a:noFill/>
                      <a:miter lim="800000"/>
                      <a:headEnd/>
                      <a:tailEnd/>
                    </a:ln>
                  </pic:spPr>
                </pic:pic>
              </a:graphicData>
            </a:graphic>
          </wp:inline>
        </w:drawing>
      </w:r>
    </w:p>
    <w:p w:rsidR="00371CF9" w:rsidRPr="00371CF9" w:rsidRDefault="00BC7D2F" w:rsidP="00371CF9">
      <w:pPr>
        <w:pStyle w:val="Caption"/>
        <w:jc w:val="center"/>
        <w:rPr>
          <w:rFonts w:asciiTheme="minorHAnsi" w:eastAsia="Times New Roman" w:hAnsiTheme="minorHAnsi" w:cs="Arial"/>
          <w:color w:val="00B0F0"/>
          <w:szCs w:val="20"/>
        </w:rPr>
      </w:pPr>
      <w:bookmarkStart w:id="34" w:name="_Toc460923870"/>
      <w:r>
        <w:t xml:space="preserve">Figure </w:t>
      </w:r>
      <w:r w:rsidR="00E27A82">
        <w:fldChar w:fldCharType="begin"/>
      </w:r>
      <w:r w:rsidR="002D15AB">
        <w:instrText xml:space="preserve"> SEQ Figure \* ARABIC </w:instrText>
      </w:r>
      <w:r w:rsidR="00E27A82">
        <w:fldChar w:fldCharType="separate"/>
      </w:r>
      <w:r w:rsidR="00ED66C2">
        <w:rPr>
          <w:noProof/>
        </w:rPr>
        <w:t>13</w:t>
      </w:r>
      <w:r w:rsidR="00E27A82">
        <w:fldChar w:fldCharType="end"/>
      </w:r>
      <w:r w:rsidR="00280800">
        <w:t>:</w:t>
      </w:r>
      <w:r>
        <w:t xml:space="preserve"> </w:t>
      </w:r>
      <w:r w:rsidR="00371CF9" w:rsidRPr="004D0107">
        <w:t>A volcanic ash plume from Mount Rinjani extends westward over Bali, Indonesia on November 3, 2015 (21:40 UTC).  The ash emissions from Mount Rinjani, automatically detec</w:t>
      </w:r>
      <w:r w:rsidR="002C34C0">
        <w:t xml:space="preserve">ted and characterized using the </w:t>
      </w:r>
      <w:r w:rsidR="00371CF9" w:rsidRPr="004D0107">
        <w:t>NOAA/NESDIS/STAR volcanic cloud algorithms and Himawari-8 sate</w:t>
      </w:r>
      <w:r w:rsidR="002C34C0">
        <w:t>llite measurements, are shown. </w:t>
      </w:r>
      <w:r w:rsidR="00371CF9" w:rsidRPr="004D0107">
        <w:t xml:space="preserve">More specifically, multi-spectral imagery (top left), ash cloud height (top right), ash effective radius (bottom left), and ash loading (bottom right), derived from Himawari-8, are shown. </w:t>
      </w:r>
      <w:r w:rsidR="005834B0">
        <w:t>(</w:t>
      </w:r>
      <w:r w:rsidR="00371CF9" w:rsidRPr="004D0107">
        <w:t xml:space="preserve">Images </w:t>
      </w:r>
      <w:r w:rsidR="00371CF9">
        <w:t xml:space="preserve">are </w:t>
      </w:r>
      <w:r w:rsidR="00371CF9" w:rsidRPr="004D0107">
        <w:t xml:space="preserve">courtesy of M. Pavolonis </w:t>
      </w:r>
      <w:r w:rsidR="00B335D7" w:rsidRPr="00B335D7">
        <w:rPr>
          <w:rFonts w:asciiTheme="minorHAnsi" w:hAnsiTheme="minorHAnsi" w:cstheme="minorHAnsi"/>
        </w:rPr>
        <w:t>NOAA NESDIS Center for Satellite Applications and Research (STAR)</w:t>
      </w:r>
      <w:r w:rsidR="005834B0">
        <w:t>)</w:t>
      </w:r>
      <w:r w:rsidR="00371CF9" w:rsidRPr="004D0107">
        <w:t>.</w:t>
      </w:r>
      <w:bookmarkEnd w:id="34"/>
    </w:p>
    <w:p w:rsidR="00371CF9" w:rsidRPr="00996A79" w:rsidRDefault="00371CF9" w:rsidP="00371CF9">
      <w:pPr>
        <w:rPr>
          <w:rFonts w:eastAsia="Times New Roman"/>
          <w:lang w:val="en-GB" w:eastAsia="en-GB"/>
        </w:rPr>
      </w:pPr>
      <w:r w:rsidRPr="00996A79">
        <w:t xml:space="preserve">In order to assess the capabilities of the state of the art algorithms and the current geostationary satellite imagery data, </w:t>
      </w:r>
      <w:r>
        <w:t xml:space="preserve">the </w:t>
      </w:r>
      <w:r w:rsidRPr="00996A79">
        <w:t xml:space="preserve">WMO performed a </w:t>
      </w:r>
      <w:r w:rsidRPr="00996A79">
        <w:rPr>
          <w:rFonts w:eastAsia="Times New Roman"/>
          <w:lang w:val="en-GB" w:eastAsia="en-GB"/>
        </w:rPr>
        <w:t xml:space="preserve">Volcanic Ash Algorithm Intercomparison </w:t>
      </w:r>
      <w:r>
        <w:rPr>
          <w:rFonts w:eastAsia="Times New Roman"/>
          <w:lang w:val="en-GB" w:eastAsia="en-GB"/>
        </w:rPr>
        <w:t xml:space="preserve">as part of a pilot project </w:t>
      </w:r>
      <w:r w:rsidRPr="00996A79">
        <w:rPr>
          <w:rFonts w:eastAsia="Times New Roman"/>
          <w:lang w:val="en-GB" w:eastAsia="en-GB"/>
        </w:rPr>
        <w:t xml:space="preserve">(SCOPE-Nowcasting PP2) (IPET-SUP-2/Doc. 7.1.2 12.II.2016). </w:t>
      </w:r>
      <w:r>
        <w:rPr>
          <w:rFonts w:eastAsia="Times New Roman"/>
          <w:lang w:val="en-GB" w:eastAsia="en-GB"/>
        </w:rPr>
        <w:t>As part of the intercomparison, a</w:t>
      </w:r>
      <w:r w:rsidRPr="00996A79">
        <w:rPr>
          <w:rFonts w:eastAsia="Times New Roman"/>
          <w:lang w:val="en-GB" w:eastAsia="en-GB"/>
        </w:rPr>
        <w:t xml:space="preserve"> total of 27 passive satellite-derived volcanic ash data sets, produced by 22 different retrieval methodologies, were intercompared and all passive satellite products were compared to 4 sources of validation data. </w:t>
      </w:r>
      <w:r w:rsidRPr="00996A79">
        <w:t xml:space="preserve">While volcanic </w:t>
      </w:r>
      <w:r>
        <w:t>SO</w:t>
      </w:r>
      <w:r>
        <w:rPr>
          <w:vertAlign w:val="subscript"/>
        </w:rPr>
        <w:t>2</w:t>
      </w:r>
      <w:r w:rsidRPr="00996A79">
        <w:t xml:space="preserve"> satellite remote sensing is also a very important topic, this study was focused solely on volcanic ash due to time and resource constraints. </w:t>
      </w:r>
      <w:r>
        <w:rPr>
          <w:rFonts w:eastAsia="Times New Roman"/>
          <w:lang w:val="en-GB" w:eastAsia="en-GB"/>
        </w:rPr>
        <w:t>T</w:t>
      </w:r>
      <w:r w:rsidRPr="00996A79">
        <w:rPr>
          <w:rFonts w:eastAsia="Times New Roman"/>
          <w:lang w:val="en-GB" w:eastAsia="en-GB"/>
        </w:rPr>
        <w:t xml:space="preserve">he </w:t>
      </w:r>
      <w:r>
        <w:rPr>
          <w:rFonts w:eastAsia="Times New Roman"/>
          <w:lang w:val="en-GB" w:eastAsia="en-GB"/>
        </w:rPr>
        <w:t>inter</w:t>
      </w:r>
      <w:r w:rsidRPr="00996A79">
        <w:rPr>
          <w:rFonts w:eastAsia="Times New Roman"/>
          <w:lang w:val="en-GB" w:eastAsia="en-GB"/>
        </w:rPr>
        <w:t xml:space="preserve">comparison </w:t>
      </w:r>
      <w:r>
        <w:rPr>
          <w:rFonts w:eastAsia="Times New Roman"/>
          <w:lang w:val="en-GB" w:eastAsia="en-GB"/>
        </w:rPr>
        <w:t>datasets included ash cloud properties derived from</w:t>
      </w:r>
      <w:r w:rsidRPr="00996A79">
        <w:rPr>
          <w:rFonts w:eastAsia="Times New Roman"/>
          <w:lang w:val="en-GB" w:eastAsia="en-GB"/>
        </w:rPr>
        <w:t xml:space="preserve"> MODIS and MSG-SEVIRI data, </w:t>
      </w:r>
      <w:r>
        <w:rPr>
          <w:rFonts w:eastAsia="Times New Roman"/>
          <w:lang w:val="en-GB" w:eastAsia="en-GB"/>
        </w:rPr>
        <w:t>which</w:t>
      </w:r>
      <w:r w:rsidRPr="00996A79">
        <w:rPr>
          <w:rFonts w:eastAsia="Times New Roman"/>
          <w:lang w:val="en-GB" w:eastAsia="en-GB"/>
        </w:rPr>
        <w:t xml:space="preserve"> gives </w:t>
      </w:r>
      <w:r>
        <w:rPr>
          <w:rFonts w:eastAsia="Times New Roman"/>
          <w:lang w:val="en-GB" w:eastAsia="en-GB"/>
        </w:rPr>
        <w:t>insight into</w:t>
      </w:r>
      <w:r w:rsidRPr="00996A79">
        <w:rPr>
          <w:rFonts w:eastAsia="Times New Roman"/>
          <w:lang w:val="en-GB" w:eastAsia="en-GB"/>
        </w:rPr>
        <w:t xml:space="preserve"> the capabilities of the new generation geostationary satellite no</w:t>
      </w:r>
      <w:r>
        <w:rPr>
          <w:rFonts w:eastAsia="Times New Roman"/>
          <w:lang w:val="en-GB" w:eastAsia="en-GB"/>
        </w:rPr>
        <w:t>w being deployed. Whilst the int</w:t>
      </w:r>
      <w:r w:rsidRPr="00996A79">
        <w:rPr>
          <w:rFonts w:eastAsia="Times New Roman"/>
          <w:lang w:val="en-GB" w:eastAsia="en-GB"/>
        </w:rPr>
        <w:t>ercomparison was quite encouraging, with algorithms able to detect concentration levels of 0.1 g/m3 or better, there is need for more research and only a couple of automated ash detection methods were able to approach the skill of a human analyst. Furthermore</w:t>
      </w:r>
      <w:r>
        <w:rPr>
          <w:rFonts w:eastAsia="Times New Roman"/>
          <w:lang w:val="en-GB" w:eastAsia="en-GB"/>
        </w:rPr>
        <w:t>,</w:t>
      </w:r>
      <w:r w:rsidRPr="00996A79">
        <w:rPr>
          <w:rFonts w:eastAsia="Times New Roman"/>
          <w:lang w:val="en-GB" w:eastAsia="en-GB"/>
        </w:rPr>
        <w:t xml:space="preserve"> given the uncertainty of aircraft based estimates of mass loading, the uncertainty in satellite based assessments is greater than a factor of 2 and most satellite derived mass loadings differed from aircraft assessments by a factor of 4 or more. The uncertainty in concentration will be greater. </w:t>
      </w:r>
    </w:p>
    <w:p w:rsidR="00BC7D2F" w:rsidRDefault="00BC7D2F" w:rsidP="00BC7D2F">
      <w:pPr>
        <w:keepNext/>
        <w:jc w:val="center"/>
      </w:pPr>
      <w:r w:rsidRPr="00BC7D2F">
        <w:rPr>
          <w:rFonts w:ascii="Arial" w:eastAsia="Times New Roman" w:hAnsi="Arial" w:cs="Arial"/>
          <w:noProof/>
          <w:lang w:val="en-US" w:eastAsia="en-US"/>
        </w:rPr>
        <w:drawing>
          <wp:inline distT="0" distB="0" distL="0" distR="0">
            <wp:extent cx="2808674" cy="2304909"/>
            <wp:effectExtent l="1905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srcRect/>
                    <a:stretch>
                      <a:fillRect/>
                    </a:stretch>
                  </pic:blipFill>
                  <pic:spPr bwMode="auto">
                    <a:xfrm>
                      <a:off x="0" y="0"/>
                      <a:ext cx="2809196" cy="2305337"/>
                    </a:xfrm>
                    <a:prstGeom prst="rect">
                      <a:avLst/>
                    </a:prstGeom>
                    <a:noFill/>
                    <a:ln w="9525">
                      <a:noFill/>
                      <a:miter lim="800000"/>
                      <a:headEnd/>
                      <a:tailEnd/>
                    </a:ln>
                  </pic:spPr>
                </pic:pic>
              </a:graphicData>
            </a:graphic>
          </wp:inline>
        </w:drawing>
      </w:r>
      <w:r w:rsidRPr="00BC7D2F">
        <w:rPr>
          <w:rFonts w:ascii="Arial" w:eastAsia="Times New Roman" w:hAnsi="Arial" w:cs="Arial"/>
          <w:noProof/>
          <w:lang w:val="en-US" w:eastAsia="en-US"/>
        </w:rPr>
        <w:drawing>
          <wp:inline distT="0" distB="0" distL="0" distR="0">
            <wp:extent cx="2762570" cy="2267074"/>
            <wp:effectExtent l="1905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2765454" cy="2269441"/>
                    </a:xfrm>
                    <a:prstGeom prst="rect">
                      <a:avLst/>
                    </a:prstGeom>
                    <a:noFill/>
                    <a:ln w="9525">
                      <a:noFill/>
                      <a:miter lim="800000"/>
                      <a:headEnd/>
                      <a:tailEnd/>
                    </a:ln>
                  </pic:spPr>
                </pic:pic>
              </a:graphicData>
            </a:graphic>
          </wp:inline>
        </w:drawing>
      </w:r>
    </w:p>
    <w:p w:rsidR="00371CF9" w:rsidRDefault="00371CF9" w:rsidP="00D85082">
      <w:pPr>
        <w:pStyle w:val="Caption"/>
        <w:jc w:val="left"/>
      </w:pPr>
      <w:r w:rsidRPr="00371CF9">
        <w:rPr>
          <w:noProof/>
          <w:lang w:val="en-US" w:eastAsia="en-US"/>
        </w:rPr>
        <w:drawing>
          <wp:inline distT="0" distB="0" distL="0" distR="0">
            <wp:extent cx="5907583" cy="2667276"/>
            <wp:effectExtent l="19050" t="0" r="0" b="0"/>
            <wp:docPr id="4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tiff"/>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4039" t="44388" r="2020" b="1084"/>
                    <a:stretch>
                      <a:fillRect/>
                    </a:stretch>
                  </pic:blipFill>
                  <pic:spPr>
                    <a:xfrm>
                      <a:off x="0" y="0"/>
                      <a:ext cx="5909555" cy="2668166"/>
                    </a:xfrm>
                    <a:prstGeom prst="rect">
                      <a:avLst/>
                    </a:prstGeom>
                  </pic:spPr>
                </pic:pic>
              </a:graphicData>
            </a:graphic>
          </wp:inline>
        </w:drawing>
      </w:r>
    </w:p>
    <w:p w:rsidR="00D85082" w:rsidRPr="00D85082" w:rsidRDefault="00BC7D2F" w:rsidP="00D85082">
      <w:pPr>
        <w:pStyle w:val="Caption"/>
        <w:jc w:val="center"/>
      </w:pPr>
      <w:bookmarkStart w:id="35" w:name="_Toc460923871"/>
      <w:r>
        <w:t xml:space="preserve">Figure </w:t>
      </w:r>
      <w:r w:rsidR="00E27A82">
        <w:fldChar w:fldCharType="begin"/>
      </w:r>
      <w:r w:rsidR="002D15AB">
        <w:instrText xml:space="preserve"> SEQ Figure \* ARABIC </w:instrText>
      </w:r>
      <w:r w:rsidR="00E27A82">
        <w:fldChar w:fldCharType="separate"/>
      </w:r>
      <w:r w:rsidR="00ED66C2">
        <w:rPr>
          <w:noProof/>
        </w:rPr>
        <w:t>14</w:t>
      </w:r>
      <w:r w:rsidR="00E27A82">
        <w:fldChar w:fldCharType="end"/>
      </w:r>
      <w:r w:rsidR="00280800">
        <w:t>:</w:t>
      </w:r>
      <w:r>
        <w:rPr>
          <w:rFonts w:ascii="Arial" w:eastAsia="Times New Roman" w:hAnsi="Arial" w:cs="Arial"/>
        </w:rPr>
        <w:t xml:space="preserve"> </w:t>
      </w:r>
      <w:r w:rsidR="00D85082" w:rsidRPr="00D85082">
        <w:rPr>
          <w:color w:val="00B0F0"/>
        </w:rPr>
        <w:t>An example analysis from the WMO Satellite-derived Volcanic Ash Inter</w:t>
      </w:r>
      <w:r w:rsidR="00D85082">
        <w:rPr>
          <w:color w:val="00B0F0"/>
        </w:rPr>
        <w:t>-</w:t>
      </w:r>
      <w:r w:rsidR="00D85082" w:rsidRPr="00D85082">
        <w:rPr>
          <w:color w:val="00B0F0"/>
        </w:rPr>
        <w:t xml:space="preserve">comparison Activity:  Volcanic ash RGB (left), retrieved Ash/Dust loading (right), CALIOP 532 nm backscatter with retrieved ash cloud heights (bottom). </w:t>
      </w:r>
      <w:r w:rsidR="005834B0">
        <w:rPr>
          <w:color w:val="00B0F0"/>
        </w:rPr>
        <w:t>(</w:t>
      </w:r>
      <w:r w:rsidR="005834B0">
        <w:rPr>
          <w:rFonts w:asciiTheme="minorHAnsi" w:hAnsiTheme="minorHAnsi" w:cstheme="minorHAnsi"/>
          <w:szCs w:val="20"/>
        </w:rPr>
        <w:t>Pavolonis</w:t>
      </w:r>
      <w:r w:rsidR="00B335D7" w:rsidRPr="00B335D7">
        <w:rPr>
          <w:rFonts w:asciiTheme="minorHAnsi" w:hAnsiTheme="minorHAnsi" w:cstheme="minorHAnsi"/>
          <w:szCs w:val="20"/>
        </w:rPr>
        <w:t>, 2015</w:t>
      </w:r>
      <w:r w:rsidR="005834B0">
        <w:rPr>
          <w:rFonts w:asciiTheme="minorHAnsi" w:hAnsiTheme="minorHAnsi" w:cstheme="minorHAnsi"/>
          <w:szCs w:val="20"/>
        </w:rPr>
        <w:t>)</w:t>
      </w:r>
      <w:r w:rsidR="00D85082" w:rsidRPr="00D85082">
        <w:rPr>
          <w:color w:val="00B0F0"/>
          <w:lang w:eastAsia="en-GB"/>
        </w:rPr>
        <w:t>.</w:t>
      </w:r>
      <w:bookmarkEnd w:id="35"/>
    </w:p>
    <w:p w:rsidR="00C028CE" w:rsidRDefault="00C028CE" w:rsidP="00C028CE">
      <w:r>
        <w:t>Volcanic eruptions and the subsequent dispersion of volcanic ash (and SO</w:t>
      </w:r>
      <w:r>
        <w:rPr>
          <w:vertAlign w:val="subscript"/>
        </w:rPr>
        <w:t>2</w:t>
      </w:r>
      <w:r>
        <w:t xml:space="preserve">) can have a profound impact on aviation as recently demonstrated by the Eyjafjallajokull eruption in 2010.  It should be noted that only about 10% of the 1500+ known volcanoes are routinely monitored with in-situ observations, hence only geostationary satellite data provide the opportunity to continuously monitor most volcanoes around the globe. Further, during an explosive volcanic eruption, volcanic ash can be transported to jet cruising altitudes in as little as 5 minutes.  Thus, early detection of volcanic eruptions is critical.  Given the large volume of data constantly being collected by the constellation of meteorological satellites in geostationary orbit, volcanic eruption detection cannot solely rely on manual analysis of satellite imagery.  Automated detection algorithms are needed to ensure timely detection of significant volcanic eruptions, regardless of the historical activity of the erupting volcano.  Hence, quantitative monitoring of volcanoes with geostationary satellites is a critical element in the </w:t>
      </w:r>
      <w:r w:rsidRPr="0049186A">
        <w:rPr>
          <w:b/>
        </w:rPr>
        <w:t>SBA/Distaster</w:t>
      </w:r>
      <w:r>
        <w:t xml:space="preserve"> for this application. </w:t>
      </w:r>
    </w:p>
    <w:p w:rsidR="00C028CE" w:rsidRPr="00996A79" w:rsidRDefault="00C028CE" w:rsidP="00C028CE">
      <w:pPr>
        <w:pStyle w:val="Heading3"/>
      </w:pPr>
      <w:r w:rsidRPr="00996A79">
        <w:t>Atmospheric Composition (ozone and sulphur dioxide)</w:t>
      </w:r>
    </w:p>
    <w:p w:rsidR="004A5164" w:rsidRPr="004A5164" w:rsidRDefault="00C028CE" w:rsidP="004A5164">
      <w:pPr>
        <w:rPr>
          <w:lang w:val="en-GB"/>
        </w:rPr>
      </w:pPr>
      <w:r w:rsidRPr="00996A79">
        <w:t xml:space="preserve">There are several trace gases important for the greenhouse effect, for atmospheric chemistry, and for human health and safety. </w:t>
      </w:r>
      <w:r w:rsidR="00827B6A">
        <w:t xml:space="preserve">The </w:t>
      </w:r>
      <w:r w:rsidRPr="00996A79">
        <w:t xml:space="preserve">capabilities of the low Earth orbit satellites to detect and measure various species like ozone, carbon monoxide and methane, </w:t>
      </w:r>
      <w:r w:rsidR="00B629B8" w:rsidRPr="00336FE0">
        <w:rPr>
          <w:rFonts w:asciiTheme="minorHAnsi" w:hAnsiTheme="minorHAnsi" w:cstheme="minorHAnsi"/>
        </w:rPr>
        <w:t>are better than those of geostationary satellites. Several of these gases have however regional, diurnal, and sporadic behavior, which is also driven by the local weather, Therefore it is necessary to acquire more frequent and continuous observation which are only possible from a geostationary orbit.</w:t>
      </w:r>
      <w:r w:rsidR="002C34C0">
        <w:rPr>
          <w:rFonts w:asciiTheme="minorHAnsi" w:hAnsiTheme="minorHAnsi" w:cstheme="minorHAnsi"/>
        </w:rPr>
        <w:t xml:space="preserve"> </w:t>
      </w:r>
      <w:r w:rsidR="004A5164" w:rsidRPr="00996A79">
        <w:t xml:space="preserve">The </w:t>
      </w:r>
      <w:r w:rsidR="004A5164" w:rsidRPr="00996A79">
        <w:rPr>
          <w:lang w:val="en-GB"/>
        </w:rPr>
        <w:t>CEOS Atmospheric Composition Constellation group has in 2011 prepared a white paper ‘A Geostationary Satellite Constellation for Observing Global Air</w:t>
      </w:r>
      <w:r w:rsidR="002C34C0">
        <w:rPr>
          <w:lang w:val="en-GB"/>
        </w:rPr>
        <w:t xml:space="preserve"> </w:t>
      </w:r>
      <w:r w:rsidR="004A5164" w:rsidRPr="00996A79">
        <w:rPr>
          <w:lang w:val="en-GB"/>
        </w:rPr>
        <w:t>Quality: An International Path Forward’. In its summary the paper notes:</w:t>
      </w:r>
    </w:p>
    <w:p w:rsidR="004A5164" w:rsidRPr="004A5164" w:rsidRDefault="004A5164" w:rsidP="004A5164">
      <w:pPr>
        <w:rPr>
          <w:lang w:val="en-GB"/>
        </w:rPr>
      </w:pPr>
      <w:r w:rsidRPr="00996A79">
        <w:rPr>
          <w:lang w:val="en-GB"/>
        </w:rPr>
        <w:t>‘Several countries and space agencies are currently planning to launch geostationary satellites in the 2017-2022 time frame to obtain atmospheric composition measurements for characterizing anthropogenic and natural distributions of tropospheric ozone, aerosols, and their precursors, which are important factors in</w:t>
      </w:r>
      <w:r w:rsidR="002C34C0">
        <w:rPr>
          <w:lang w:val="en-GB"/>
        </w:rPr>
        <w:t xml:space="preserve"> </w:t>
      </w:r>
      <w:r w:rsidRPr="00996A79">
        <w:rPr>
          <w:lang w:val="en-GB"/>
        </w:rPr>
        <w:t>understanding air quality and climate change. Ozone, the ozone precursors NO2 and CO, and aerosols are pollutants that adversely affect human and plant health and the environment. Ozone and aerosols are also the primary short-lived climate forcers, meaning that future air quality and climate are closely linked. Emissions of these pollutants are strongly influenced by human activities. Their distributions in the atmosphere depend on complex physical and chemical transformations that are controlled by sunlight and weather, including the rapidly varying planetary boundary layer and continental- and intercontinental-scale transport of pollution. Understanding and monitoring these processes requires continuous measurements with high temporal and spatial resolution possible only from geostationary Earth orbit.’</w:t>
      </w:r>
    </w:p>
    <w:p w:rsidR="004A5164" w:rsidRPr="004A5164" w:rsidRDefault="004A5164" w:rsidP="004A5164">
      <w:r w:rsidRPr="00996A79">
        <w:t xml:space="preserve">Whilst there now is a strong push for deploying dedicated geostationary mission for air quality and atmospheric composition, there is still a need to complement those missions with data from the new generation meteorological geostationary satellites for better spatial (the dedicated missions tend to have a limited field of view) and temporal coverage as well as increased resolution. The geostationary meteorological imagers are </w:t>
      </w:r>
      <w:r>
        <w:t>today</w:t>
      </w:r>
      <w:r w:rsidRPr="00996A79">
        <w:t xml:space="preserve"> mainly suited for the detection of total ozone column and SO</w:t>
      </w:r>
      <w:r w:rsidRPr="00996A79">
        <w:rPr>
          <w:vertAlign w:val="subscript"/>
        </w:rPr>
        <w:t>2</w:t>
      </w:r>
      <w:r w:rsidRPr="00996A79">
        <w:t xml:space="preserve">. </w:t>
      </w:r>
    </w:p>
    <w:p w:rsidR="004A5164" w:rsidRPr="00C028CE" w:rsidRDefault="004A5164" w:rsidP="004A5164">
      <w:pPr>
        <w:rPr>
          <w:lang w:val="en-GB" w:eastAsia="en-GB"/>
        </w:rPr>
      </w:pPr>
      <w:r w:rsidRPr="00996A79">
        <w:rPr>
          <w:lang w:val="en-GB" w:eastAsia="en-GB"/>
        </w:rPr>
        <w:t>The derived ozone data from currently flying geostationary satellites has already been applied to studies of atmospheric dynamics, reflecting the relationship between ozone and potential vorticity in the stratosphere, and air quality, primarily as a source function in air quality and ozone prediction models. The ozone observations are also useful for monitoring and forecasting UV radiation at the ground level</w:t>
      </w:r>
    </w:p>
    <w:p w:rsidR="004A5164" w:rsidRPr="004A5164" w:rsidRDefault="004A5164" w:rsidP="004A5164">
      <w:pPr>
        <w:rPr>
          <w:lang w:val="en-GB" w:eastAsia="en-GB"/>
        </w:rPr>
      </w:pPr>
      <w:r w:rsidRPr="00996A79">
        <w:rPr>
          <w:lang w:val="en-GB" w:eastAsia="en-GB"/>
        </w:rPr>
        <w:t>These capabilities will now further increase and for example the GOES-R ABI ozone detection algorithm is being developed within the GOES-R AWG Air Quality team as part of the air quality module processing subsystem. The GOES-R ABI allows for nearly continuous earth observation with an instantaneous ground field of view (IGFOV) at nadir for the visible band</w:t>
      </w:r>
      <w:r w:rsidR="002C34C0">
        <w:rPr>
          <w:lang w:val="en-GB" w:eastAsia="en-GB"/>
        </w:rPr>
        <w:t xml:space="preserve"> </w:t>
      </w:r>
      <w:r w:rsidRPr="00996A79">
        <w:rPr>
          <w:lang w:val="en-GB" w:eastAsia="en-GB"/>
        </w:rPr>
        <w:t>and 2 km for the infrared bands. Multispectral ABI data will be available every 5 minutes</w:t>
      </w:r>
      <w:r w:rsidR="002C34C0">
        <w:rPr>
          <w:lang w:val="en-GB" w:eastAsia="en-GB"/>
        </w:rPr>
        <w:t xml:space="preserve"> </w:t>
      </w:r>
      <w:r w:rsidRPr="00996A79">
        <w:rPr>
          <w:lang w:val="en-GB" w:eastAsia="en-GB"/>
        </w:rPr>
        <w:t>over the continental United States with full disk coverage of the Western Hemisphere every 15 minutes. GOES_R ABI offers frequent total column ozone measurements at 2 km resolution. Similar capabilities will in the future be available for the full geo-ring.</w:t>
      </w:r>
    </w:p>
    <w:p w:rsidR="006E78B2" w:rsidRPr="006E78B2" w:rsidRDefault="006E78B2" w:rsidP="006E78B2">
      <w:r>
        <w:t xml:space="preserve">Whereas geostationary imagers are capable of detecting SO2, these measurements are due to the low sensitivity of the instruments, mainly useful for qualitative assessments in areas with strong concentrations, like in the case of volcanic eruptions. Nevertheless, they do provide continuous observations and the capability to track </w:t>
      </w:r>
      <w:r w:rsidRPr="00996A79">
        <w:t>SO</w:t>
      </w:r>
      <w:r w:rsidRPr="00996A79">
        <w:rPr>
          <w:vertAlign w:val="subscript"/>
        </w:rPr>
        <w:t>2</w:t>
      </w:r>
      <w:r w:rsidRPr="00996A79">
        <w:t xml:space="preserve"> </w:t>
      </w:r>
      <w:r>
        <w:t>over extended periods of time.</w:t>
      </w:r>
    </w:p>
    <w:p w:rsidR="006E78B2" w:rsidRPr="00496D26" w:rsidRDefault="006E78B2" w:rsidP="006E78B2">
      <w:r>
        <w:t xml:space="preserve">In summary, atmospheric composition monitoring have an impact on </w:t>
      </w:r>
      <w:r w:rsidRPr="00496D26">
        <w:rPr>
          <w:b/>
        </w:rPr>
        <w:t>SBA/Climate</w:t>
      </w:r>
      <w:r>
        <w:t xml:space="preserve">, </w:t>
      </w:r>
      <w:r w:rsidRPr="00496D26">
        <w:rPr>
          <w:b/>
        </w:rPr>
        <w:t>SBA/Weather</w:t>
      </w:r>
      <w:r>
        <w:t xml:space="preserve"> and </w:t>
      </w:r>
      <w:r w:rsidRPr="00496D26">
        <w:rPr>
          <w:b/>
        </w:rPr>
        <w:t>SBA/Health</w:t>
      </w:r>
      <w:r>
        <w:rPr>
          <w:b/>
        </w:rPr>
        <w:t>.</w:t>
      </w:r>
    </w:p>
    <w:p w:rsidR="004A5164" w:rsidRPr="004A5164" w:rsidRDefault="004A5164" w:rsidP="004A5164">
      <w:pPr>
        <w:pStyle w:val="Heading2"/>
      </w:pPr>
      <w:bookmarkStart w:id="36" w:name="_Toc460923839"/>
      <w:r w:rsidRPr="00996A79">
        <w:t>Ocean products</w:t>
      </w:r>
      <w:bookmarkEnd w:id="36"/>
    </w:p>
    <w:p w:rsidR="004A5164" w:rsidRPr="004A5164" w:rsidRDefault="004A5164" w:rsidP="004A5164">
      <w:pPr>
        <w:pStyle w:val="Heading3"/>
      </w:pPr>
      <w:r w:rsidRPr="00996A79">
        <w:t>Overview</w:t>
      </w:r>
    </w:p>
    <w:p w:rsidR="00BC7D2F" w:rsidRDefault="004A5164" w:rsidP="00747E63">
      <w:r w:rsidRPr="00996A79">
        <w:t>The ocean products considered in this chapter are Sea Surface Temperature (SST), Ice, cu</w:t>
      </w:r>
      <w:r w:rsidR="002C34C0">
        <w:t>rrents and Ocean Colour. Table 6</w:t>
      </w:r>
      <w:r w:rsidRPr="00996A79">
        <w:t xml:space="preserve"> gives an overview of all products and an indication of which instruments of the new generation are used or planned to be used to derive the associated products. </w:t>
      </w:r>
    </w:p>
    <w:p w:rsidR="00807835" w:rsidRDefault="00807835" w:rsidP="00747E63"/>
    <w:p w:rsidR="00807835" w:rsidRDefault="00807835" w:rsidP="00747E63"/>
    <w:p w:rsidR="00D538CE" w:rsidRPr="00D538CE" w:rsidRDefault="00D538CE" w:rsidP="00D538CE">
      <w:pPr>
        <w:pStyle w:val="Caption"/>
        <w:jc w:val="center"/>
      </w:pPr>
      <w:bookmarkStart w:id="37" w:name="_Toc460923903"/>
      <w:r>
        <w:t xml:space="preserve">Table </w:t>
      </w:r>
      <w:fldSimple w:instr=" SEQ Table \* ARABIC ">
        <w:r w:rsidR="00ED66C2">
          <w:rPr>
            <w:noProof/>
          </w:rPr>
          <w:t>6</w:t>
        </w:r>
      </w:fldSimple>
      <w:r w:rsidR="00641C0D">
        <w:t>:</w:t>
      </w:r>
      <w:r>
        <w:t xml:space="preserve"> F</w:t>
      </w:r>
      <w:r w:rsidRPr="00996A79">
        <w:t>oreseen products and parameters</w:t>
      </w:r>
      <w:r>
        <w:t xml:space="preserve"> </w:t>
      </w:r>
      <w:r w:rsidRPr="00996A79">
        <w:t>for Ocean NMA</w:t>
      </w:r>
      <w:r>
        <w:t xml:space="preserve"> </w:t>
      </w:r>
      <w:r w:rsidRPr="00996A79">
        <w:t>products.</w:t>
      </w:r>
      <w:r>
        <w:t xml:space="preserve"> (Baseline=B, Future capability/potential=</w:t>
      </w:r>
      <w:r w:rsidRPr="00996A79">
        <w:t>F)</w:t>
      </w:r>
      <w:r>
        <w:t>.</w:t>
      </w:r>
      <w:bookmarkEnd w:id="37"/>
    </w:p>
    <w:tbl>
      <w:tblPr>
        <w:tblStyle w:val="TableGrid"/>
        <w:tblW w:w="0" w:type="auto"/>
        <w:tblInd w:w="109" w:type="dxa"/>
        <w:tblLayout w:type="fixed"/>
        <w:tblLook w:val="04A0"/>
      </w:tblPr>
      <w:tblGrid>
        <w:gridCol w:w="1842"/>
        <w:gridCol w:w="2552"/>
        <w:gridCol w:w="850"/>
        <w:gridCol w:w="992"/>
        <w:gridCol w:w="851"/>
        <w:gridCol w:w="850"/>
        <w:gridCol w:w="842"/>
        <w:gridCol w:w="780"/>
      </w:tblGrid>
      <w:tr w:rsidR="00D51776" w:rsidRPr="00996A79" w:rsidTr="00D51776">
        <w:tc>
          <w:tcPr>
            <w:tcW w:w="1842" w:type="dxa"/>
            <w:vAlign w:val="center"/>
          </w:tcPr>
          <w:p w:rsidR="00D538CE" w:rsidRPr="00996A79" w:rsidRDefault="00D538CE" w:rsidP="00D51776">
            <w:pPr>
              <w:jc w:val="left"/>
            </w:pPr>
            <w:r w:rsidRPr="00996A79">
              <w:t>Product</w:t>
            </w:r>
          </w:p>
        </w:tc>
        <w:tc>
          <w:tcPr>
            <w:tcW w:w="2552" w:type="dxa"/>
            <w:vAlign w:val="center"/>
          </w:tcPr>
          <w:p w:rsidR="00D538CE" w:rsidRPr="00996A79" w:rsidRDefault="00D538CE" w:rsidP="00D51776">
            <w:pPr>
              <w:jc w:val="left"/>
              <w:rPr>
                <w:rFonts w:eastAsia="Times New Roman"/>
              </w:rPr>
            </w:pPr>
            <w:r w:rsidRPr="00996A79">
              <w:rPr>
                <w:rFonts w:eastAsia="Times New Roman"/>
              </w:rPr>
              <w:t>Parameter</w:t>
            </w:r>
          </w:p>
        </w:tc>
        <w:tc>
          <w:tcPr>
            <w:tcW w:w="850" w:type="dxa"/>
            <w:vAlign w:val="center"/>
          </w:tcPr>
          <w:p w:rsidR="00D538CE" w:rsidRPr="00996A79" w:rsidRDefault="00D538CE" w:rsidP="00D51776">
            <w:pPr>
              <w:jc w:val="left"/>
              <w:rPr>
                <w:rFonts w:eastAsia="Times New Roman"/>
              </w:rPr>
            </w:pPr>
            <w:r w:rsidRPr="00996A79">
              <w:rPr>
                <w:rFonts w:eastAsia="Times New Roman"/>
              </w:rPr>
              <w:t>ABI</w:t>
            </w:r>
          </w:p>
        </w:tc>
        <w:tc>
          <w:tcPr>
            <w:tcW w:w="992" w:type="dxa"/>
            <w:vAlign w:val="center"/>
          </w:tcPr>
          <w:p w:rsidR="00D538CE" w:rsidRPr="00996A79" w:rsidRDefault="00D538CE" w:rsidP="00D51776">
            <w:pPr>
              <w:jc w:val="left"/>
              <w:rPr>
                <w:rFonts w:eastAsia="Times New Roman"/>
              </w:rPr>
            </w:pPr>
            <w:r w:rsidRPr="00996A79">
              <w:rPr>
                <w:rFonts w:eastAsia="Times New Roman"/>
              </w:rPr>
              <w:t>AHI</w:t>
            </w:r>
          </w:p>
        </w:tc>
        <w:tc>
          <w:tcPr>
            <w:tcW w:w="851" w:type="dxa"/>
            <w:vAlign w:val="center"/>
          </w:tcPr>
          <w:p w:rsidR="00D538CE" w:rsidRPr="00996A79" w:rsidRDefault="00F37B38" w:rsidP="00F37B38">
            <w:pPr>
              <w:jc w:val="left"/>
              <w:rPr>
                <w:rFonts w:eastAsia="Times New Roman"/>
              </w:rPr>
            </w:pPr>
            <w:r w:rsidRPr="00996A79">
              <w:rPr>
                <w:rFonts w:eastAsia="Times New Roman"/>
              </w:rPr>
              <w:t>A</w:t>
            </w:r>
            <w:r>
              <w:rPr>
                <w:rFonts w:eastAsia="Times New Roman"/>
              </w:rPr>
              <w:t>M</w:t>
            </w:r>
            <w:r w:rsidRPr="00996A79">
              <w:rPr>
                <w:rFonts w:eastAsia="Times New Roman"/>
              </w:rPr>
              <w:t>I</w:t>
            </w:r>
          </w:p>
        </w:tc>
        <w:tc>
          <w:tcPr>
            <w:tcW w:w="850" w:type="dxa"/>
            <w:vAlign w:val="center"/>
          </w:tcPr>
          <w:p w:rsidR="00D538CE" w:rsidRPr="00996A79" w:rsidRDefault="002C34C0" w:rsidP="00D51776">
            <w:pPr>
              <w:jc w:val="left"/>
              <w:rPr>
                <w:rFonts w:eastAsia="Times New Roman"/>
              </w:rPr>
            </w:pPr>
            <w:r>
              <w:rPr>
                <w:rFonts w:eastAsia="Times New Roman"/>
              </w:rPr>
              <w:t>A</w:t>
            </w:r>
            <w:r w:rsidR="00D538CE" w:rsidRPr="00996A79">
              <w:rPr>
                <w:rFonts w:eastAsia="Times New Roman"/>
              </w:rPr>
              <w:t>GRI</w:t>
            </w:r>
          </w:p>
        </w:tc>
        <w:tc>
          <w:tcPr>
            <w:tcW w:w="842" w:type="dxa"/>
            <w:vAlign w:val="center"/>
          </w:tcPr>
          <w:p w:rsidR="00D538CE" w:rsidRPr="00996A79" w:rsidRDefault="00D538CE" w:rsidP="00D51776">
            <w:pPr>
              <w:jc w:val="left"/>
              <w:rPr>
                <w:rFonts w:eastAsia="Times New Roman"/>
              </w:rPr>
            </w:pPr>
            <w:r w:rsidRPr="00996A79">
              <w:rPr>
                <w:rFonts w:eastAsia="Times New Roman"/>
              </w:rPr>
              <w:t>FCI</w:t>
            </w:r>
          </w:p>
        </w:tc>
        <w:tc>
          <w:tcPr>
            <w:tcW w:w="780" w:type="dxa"/>
            <w:vAlign w:val="center"/>
          </w:tcPr>
          <w:p w:rsidR="00D538CE" w:rsidRPr="00996A79" w:rsidRDefault="00D538CE" w:rsidP="00D51776">
            <w:pPr>
              <w:jc w:val="left"/>
              <w:rPr>
                <w:rFonts w:eastAsia="Times New Roman"/>
              </w:rPr>
            </w:pPr>
            <w:r w:rsidRPr="00996A79">
              <w:rPr>
                <w:rFonts w:eastAsia="Times New Roman"/>
              </w:rPr>
              <w:t>SEVIRI</w:t>
            </w:r>
          </w:p>
        </w:tc>
      </w:tr>
      <w:tr w:rsidR="00D51776" w:rsidRPr="00996A79" w:rsidTr="00D51776">
        <w:tc>
          <w:tcPr>
            <w:tcW w:w="1842" w:type="dxa"/>
            <w:vAlign w:val="center"/>
          </w:tcPr>
          <w:p w:rsidR="00D538CE" w:rsidRPr="00996A79" w:rsidRDefault="00D538CE" w:rsidP="00D51776">
            <w:pPr>
              <w:jc w:val="left"/>
            </w:pPr>
            <w:r w:rsidRPr="00996A79">
              <w:t>SST</w:t>
            </w:r>
          </w:p>
        </w:tc>
        <w:tc>
          <w:tcPr>
            <w:tcW w:w="2552" w:type="dxa"/>
            <w:vAlign w:val="center"/>
          </w:tcPr>
          <w:p w:rsidR="00D538CE" w:rsidRPr="00996A79" w:rsidRDefault="00D538CE" w:rsidP="00D51776">
            <w:pPr>
              <w:jc w:val="left"/>
              <w:rPr>
                <w:rFonts w:eastAsia="Times New Roman"/>
              </w:rPr>
            </w:pPr>
            <w:r w:rsidRPr="00996A79">
              <w:rPr>
                <w:rFonts w:eastAsia="Times New Roman"/>
              </w:rPr>
              <w:t>Skin Temperature</w:t>
            </w:r>
          </w:p>
        </w:tc>
        <w:tc>
          <w:tcPr>
            <w:tcW w:w="850" w:type="dxa"/>
            <w:vAlign w:val="center"/>
          </w:tcPr>
          <w:p w:rsidR="00D538CE" w:rsidRPr="00996A79" w:rsidRDefault="00D538CE" w:rsidP="00D51776">
            <w:pPr>
              <w:jc w:val="left"/>
              <w:rPr>
                <w:rFonts w:eastAsia="Times New Roman"/>
              </w:rPr>
            </w:pPr>
            <w:r w:rsidRPr="00996A79">
              <w:rPr>
                <w:rFonts w:eastAsia="Times New Roman"/>
              </w:rPr>
              <w:t>B</w:t>
            </w:r>
          </w:p>
        </w:tc>
        <w:tc>
          <w:tcPr>
            <w:tcW w:w="992" w:type="dxa"/>
            <w:vAlign w:val="center"/>
          </w:tcPr>
          <w:p w:rsidR="00D538CE" w:rsidRPr="00996A79" w:rsidRDefault="00D538CE" w:rsidP="00D51776">
            <w:pPr>
              <w:jc w:val="left"/>
              <w:rPr>
                <w:rFonts w:eastAsia="Times New Roman"/>
              </w:rPr>
            </w:pPr>
            <w:r w:rsidRPr="00996A79">
              <w:rPr>
                <w:rFonts w:eastAsia="Times New Roman"/>
              </w:rPr>
              <w:t>B</w:t>
            </w:r>
          </w:p>
        </w:tc>
        <w:tc>
          <w:tcPr>
            <w:tcW w:w="851" w:type="dxa"/>
            <w:vAlign w:val="center"/>
          </w:tcPr>
          <w:p w:rsidR="00D538CE" w:rsidRPr="00996A79" w:rsidRDefault="00D538CE" w:rsidP="00D51776">
            <w:pPr>
              <w:jc w:val="left"/>
              <w:rPr>
                <w:rFonts w:eastAsia="Times New Roman"/>
              </w:rPr>
            </w:pPr>
            <w:r w:rsidRPr="00996A79">
              <w:rPr>
                <w:rFonts w:eastAsia="Times New Roman"/>
              </w:rPr>
              <w:t>B</w:t>
            </w:r>
          </w:p>
        </w:tc>
        <w:tc>
          <w:tcPr>
            <w:tcW w:w="850" w:type="dxa"/>
            <w:vAlign w:val="center"/>
          </w:tcPr>
          <w:p w:rsidR="00D538CE" w:rsidRPr="00996A79" w:rsidRDefault="00D538CE" w:rsidP="00D51776">
            <w:pPr>
              <w:jc w:val="left"/>
              <w:rPr>
                <w:rFonts w:eastAsia="Times New Roman"/>
              </w:rPr>
            </w:pPr>
            <w:r w:rsidRPr="00996A79">
              <w:rPr>
                <w:rFonts w:eastAsia="Times New Roman"/>
              </w:rPr>
              <w:t>X</w:t>
            </w:r>
          </w:p>
        </w:tc>
        <w:tc>
          <w:tcPr>
            <w:tcW w:w="842" w:type="dxa"/>
            <w:vAlign w:val="center"/>
          </w:tcPr>
          <w:p w:rsidR="00D538CE" w:rsidRPr="00996A79" w:rsidRDefault="00D538CE" w:rsidP="00D51776">
            <w:pPr>
              <w:jc w:val="left"/>
              <w:rPr>
                <w:rFonts w:eastAsia="Times New Roman"/>
              </w:rPr>
            </w:pPr>
            <w:r w:rsidRPr="00996A79">
              <w:rPr>
                <w:rFonts w:eastAsia="Times New Roman"/>
              </w:rPr>
              <w:t>X</w:t>
            </w:r>
          </w:p>
        </w:tc>
        <w:tc>
          <w:tcPr>
            <w:tcW w:w="780" w:type="dxa"/>
            <w:vAlign w:val="center"/>
          </w:tcPr>
          <w:p w:rsidR="00D538CE" w:rsidRPr="00996A79" w:rsidRDefault="00D538CE" w:rsidP="00D51776">
            <w:pPr>
              <w:jc w:val="left"/>
              <w:rPr>
                <w:rFonts w:eastAsia="Times New Roman"/>
              </w:rPr>
            </w:pPr>
            <w:r w:rsidRPr="00996A79">
              <w:rPr>
                <w:rFonts w:eastAsia="Times New Roman"/>
              </w:rPr>
              <w:t>X</w:t>
            </w:r>
          </w:p>
        </w:tc>
      </w:tr>
      <w:tr w:rsidR="00D51776" w:rsidRPr="00996A79" w:rsidTr="00D51776">
        <w:tc>
          <w:tcPr>
            <w:tcW w:w="1842" w:type="dxa"/>
            <w:vAlign w:val="center"/>
          </w:tcPr>
          <w:p w:rsidR="00D538CE" w:rsidRPr="00996A79" w:rsidRDefault="00D538CE" w:rsidP="00D51776">
            <w:pPr>
              <w:jc w:val="left"/>
            </w:pPr>
            <w:r w:rsidRPr="00996A79">
              <w:t>Ice (and lake ice)</w:t>
            </w:r>
          </w:p>
        </w:tc>
        <w:tc>
          <w:tcPr>
            <w:tcW w:w="2552" w:type="dxa"/>
            <w:vAlign w:val="center"/>
          </w:tcPr>
          <w:p w:rsidR="00D538CE" w:rsidRPr="00996A79" w:rsidRDefault="00D538CE" w:rsidP="00D51776">
            <w:pPr>
              <w:jc w:val="left"/>
              <w:rPr>
                <w:rFonts w:eastAsia="Times New Roman"/>
              </w:rPr>
            </w:pPr>
            <w:r w:rsidRPr="00996A79">
              <w:rPr>
                <w:rFonts w:eastAsia="Times New Roman"/>
              </w:rPr>
              <w:t>Cover</w:t>
            </w:r>
          </w:p>
        </w:tc>
        <w:tc>
          <w:tcPr>
            <w:tcW w:w="850" w:type="dxa"/>
            <w:vAlign w:val="center"/>
          </w:tcPr>
          <w:p w:rsidR="00D538CE" w:rsidRPr="00996A79" w:rsidRDefault="00D538CE" w:rsidP="00D51776">
            <w:pPr>
              <w:jc w:val="left"/>
              <w:rPr>
                <w:rFonts w:eastAsia="Times New Roman"/>
              </w:rPr>
            </w:pPr>
            <w:r w:rsidRPr="00996A79">
              <w:rPr>
                <w:rFonts w:eastAsia="Times New Roman"/>
              </w:rPr>
              <w:t>F</w:t>
            </w:r>
          </w:p>
        </w:tc>
        <w:tc>
          <w:tcPr>
            <w:tcW w:w="992" w:type="dxa"/>
            <w:vAlign w:val="center"/>
          </w:tcPr>
          <w:p w:rsidR="00D538CE" w:rsidRPr="00996A79" w:rsidRDefault="00D538CE" w:rsidP="00D51776">
            <w:pPr>
              <w:jc w:val="left"/>
              <w:rPr>
                <w:rFonts w:eastAsia="Times New Roman"/>
              </w:rPr>
            </w:pPr>
          </w:p>
        </w:tc>
        <w:tc>
          <w:tcPr>
            <w:tcW w:w="851" w:type="dxa"/>
            <w:vAlign w:val="center"/>
          </w:tcPr>
          <w:p w:rsidR="00D538CE" w:rsidRPr="00996A79" w:rsidRDefault="00D538CE" w:rsidP="00D51776">
            <w:pPr>
              <w:jc w:val="left"/>
              <w:rPr>
                <w:rFonts w:eastAsia="Times New Roman"/>
              </w:rPr>
            </w:pPr>
            <w:r w:rsidRPr="00996A79">
              <w:rPr>
                <w:rFonts w:eastAsia="Times New Roman"/>
              </w:rPr>
              <w:t>B</w:t>
            </w:r>
          </w:p>
        </w:tc>
        <w:tc>
          <w:tcPr>
            <w:tcW w:w="850" w:type="dxa"/>
            <w:vAlign w:val="center"/>
          </w:tcPr>
          <w:p w:rsidR="00D538CE" w:rsidRPr="00996A79" w:rsidRDefault="00D538CE" w:rsidP="00D51776">
            <w:pPr>
              <w:jc w:val="left"/>
              <w:rPr>
                <w:rFonts w:eastAsia="Times New Roman"/>
              </w:rPr>
            </w:pPr>
          </w:p>
        </w:tc>
        <w:tc>
          <w:tcPr>
            <w:tcW w:w="842" w:type="dxa"/>
            <w:vAlign w:val="center"/>
          </w:tcPr>
          <w:p w:rsidR="00D538CE" w:rsidRPr="00996A79" w:rsidRDefault="00D538CE" w:rsidP="00D51776">
            <w:pPr>
              <w:jc w:val="left"/>
              <w:rPr>
                <w:rFonts w:eastAsia="Times New Roman"/>
              </w:rPr>
            </w:pPr>
          </w:p>
        </w:tc>
        <w:tc>
          <w:tcPr>
            <w:tcW w:w="780" w:type="dxa"/>
            <w:vAlign w:val="center"/>
          </w:tcPr>
          <w:p w:rsidR="00D538CE" w:rsidRPr="00996A79" w:rsidRDefault="00D538CE" w:rsidP="00D51776">
            <w:pPr>
              <w:jc w:val="left"/>
              <w:rPr>
                <w:rFonts w:eastAsia="Times New Roman"/>
              </w:rPr>
            </w:pPr>
          </w:p>
        </w:tc>
      </w:tr>
      <w:tr w:rsidR="00D51776" w:rsidRPr="00996A79" w:rsidTr="00D51776">
        <w:tc>
          <w:tcPr>
            <w:tcW w:w="1842" w:type="dxa"/>
            <w:vAlign w:val="center"/>
          </w:tcPr>
          <w:p w:rsidR="00D538CE" w:rsidRPr="00996A79" w:rsidRDefault="00D538CE" w:rsidP="00D51776">
            <w:pPr>
              <w:jc w:val="left"/>
            </w:pPr>
          </w:p>
        </w:tc>
        <w:tc>
          <w:tcPr>
            <w:tcW w:w="2552" w:type="dxa"/>
            <w:vAlign w:val="center"/>
          </w:tcPr>
          <w:p w:rsidR="00D538CE" w:rsidRPr="00996A79" w:rsidRDefault="00D538CE" w:rsidP="00D51776">
            <w:pPr>
              <w:jc w:val="left"/>
              <w:rPr>
                <w:rFonts w:eastAsia="Times New Roman"/>
              </w:rPr>
            </w:pPr>
            <w:r w:rsidRPr="00996A79">
              <w:rPr>
                <w:rFonts w:eastAsia="Times New Roman"/>
              </w:rPr>
              <w:t>Concentration</w:t>
            </w:r>
          </w:p>
        </w:tc>
        <w:tc>
          <w:tcPr>
            <w:tcW w:w="850" w:type="dxa"/>
            <w:vAlign w:val="center"/>
          </w:tcPr>
          <w:p w:rsidR="00D538CE" w:rsidRPr="00996A79" w:rsidRDefault="00D538CE" w:rsidP="00D51776">
            <w:pPr>
              <w:jc w:val="left"/>
              <w:rPr>
                <w:rFonts w:eastAsia="Times New Roman"/>
              </w:rPr>
            </w:pPr>
            <w:r w:rsidRPr="00996A79">
              <w:rPr>
                <w:rFonts w:eastAsia="Times New Roman"/>
              </w:rPr>
              <w:t>F</w:t>
            </w:r>
          </w:p>
        </w:tc>
        <w:tc>
          <w:tcPr>
            <w:tcW w:w="992" w:type="dxa"/>
            <w:vAlign w:val="center"/>
          </w:tcPr>
          <w:p w:rsidR="00D538CE" w:rsidRPr="00996A79" w:rsidRDefault="00D538CE" w:rsidP="00D51776">
            <w:pPr>
              <w:jc w:val="left"/>
              <w:rPr>
                <w:rFonts w:eastAsia="Times New Roman"/>
              </w:rPr>
            </w:pPr>
          </w:p>
        </w:tc>
        <w:tc>
          <w:tcPr>
            <w:tcW w:w="851" w:type="dxa"/>
            <w:vAlign w:val="center"/>
          </w:tcPr>
          <w:p w:rsidR="00D538CE" w:rsidRPr="00996A79" w:rsidRDefault="00D538CE" w:rsidP="00D51776">
            <w:pPr>
              <w:jc w:val="left"/>
              <w:rPr>
                <w:rFonts w:eastAsia="Times New Roman"/>
              </w:rPr>
            </w:pPr>
          </w:p>
        </w:tc>
        <w:tc>
          <w:tcPr>
            <w:tcW w:w="850" w:type="dxa"/>
            <w:vAlign w:val="center"/>
          </w:tcPr>
          <w:p w:rsidR="00D538CE" w:rsidRPr="00996A79" w:rsidRDefault="00D538CE" w:rsidP="00D51776">
            <w:pPr>
              <w:jc w:val="left"/>
              <w:rPr>
                <w:rFonts w:eastAsia="Times New Roman"/>
              </w:rPr>
            </w:pPr>
          </w:p>
        </w:tc>
        <w:tc>
          <w:tcPr>
            <w:tcW w:w="842" w:type="dxa"/>
            <w:vAlign w:val="center"/>
          </w:tcPr>
          <w:p w:rsidR="00D538CE" w:rsidRPr="00996A79" w:rsidRDefault="00D538CE" w:rsidP="00D51776">
            <w:pPr>
              <w:jc w:val="left"/>
              <w:rPr>
                <w:rFonts w:eastAsia="Times New Roman"/>
              </w:rPr>
            </w:pPr>
          </w:p>
        </w:tc>
        <w:tc>
          <w:tcPr>
            <w:tcW w:w="780" w:type="dxa"/>
            <w:vAlign w:val="center"/>
          </w:tcPr>
          <w:p w:rsidR="00D538CE" w:rsidRPr="00996A79" w:rsidRDefault="00D538CE" w:rsidP="00D51776">
            <w:pPr>
              <w:jc w:val="left"/>
              <w:rPr>
                <w:rFonts w:eastAsia="Times New Roman"/>
              </w:rPr>
            </w:pPr>
          </w:p>
        </w:tc>
      </w:tr>
      <w:tr w:rsidR="00D51776" w:rsidRPr="00996A79" w:rsidTr="00D51776">
        <w:tc>
          <w:tcPr>
            <w:tcW w:w="1842" w:type="dxa"/>
            <w:vAlign w:val="center"/>
          </w:tcPr>
          <w:p w:rsidR="00D538CE" w:rsidRPr="00996A79" w:rsidRDefault="00D538CE" w:rsidP="00D51776">
            <w:pPr>
              <w:jc w:val="left"/>
            </w:pPr>
          </w:p>
        </w:tc>
        <w:tc>
          <w:tcPr>
            <w:tcW w:w="2552" w:type="dxa"/>
            <w:vAlign w:val="center"/>
          </w:tcPr>
          <w:p w:rsidR="00D538CE" w:rsidRPr="00996A79" w:rsidRDefault="00D538CE" w:rsidP="00D51776">
            <w:pPr>
              <w:jc w:val="left"/>
              <w:rPr>
                <w:rFonts w:eastAsia="Times New Roman"/>
              </w:rPr>
            </w:pPr>
            <w:r w:rsidRPr="00996A79">
              <w:rPr>
                <w:rFonts w:eastAsia="Times New Roman"/>
              </w:rPr>
              <w:t>Motion</w:t>
            </w:r>
          </w:p>
        </w:tc>
        <w:tc>
          <w:tcPr>
            <w:tcW w:w="850" w:type="dxa"/>
            <w:vAlign w:val="center"/>
          </w:tcPr>
          <w:p w:rsidR="00D538CE" w:rsidRPr="00996A79" w:rsidRDefault="00D538CE" w:rsidP="00D51776">
            <w:pPr>
              <w:jc w:val="left"/>
              <w:rPr>
                <w:rFonts w:eastAsia="Times New Roman"/>
              </w:rPr>
            </w:pPr>
            <w:r w:rsidRPr="00996A79">
              <w:rPr>
                <w:rFonts w:eastAsia="Times New Roman"/>
              </w:rPr>
              <w:t>F</w:t>
            </w:r>
          </w:p>
        </w:tc>
        <w:tc>
          <w:tcPr>
            <w:tcW w:w="992" w:type="dxa"/>
            <w:vAlign w:val="center"/>
          </w:tcPr>
          <w:p w:rsidR="00D538CE" w:rsidRPr="00996A79" w:rsidRDefault="00D538CE" w:rsidP="00D51776">
            <w:pPr>
              <w:jc w:val="left"/>
              <w:rPr>
                <w:rFonts w:eastAsia="Times New Roman"/>
              </w:rPr>
            </w:pPr>
          </w:p>
        </w:tc>
        <w:tc>
          <w:tcPr>
            <w:tcW w:w="851" w:type="dxa"/>
            <w:vAlign w:val="center"/>
          </w:tcPr>
          <w:p w:rsidR="00D538CE" w:rsidRPr="00996A79" w:rsidRDefault="00D538CE" w:rsidP="00D51776">
            <w:pPr>
              <w:jc w:val="left"/>
              <w:rPr>
                <w:rFonts w:eastAsia="Times New Roman"/>
              </w:rPr>
            </w:pPr>
          </w:p>
        </w:tc>
        <w:tc>
          <w:tcPr>
            <w:tcW w:w="850" w:type="dxa"/>
            <w:vAlign w:val="center"/>
          </w:tcPr>
          <w:p w:rsidR="00D538CE" w:rsidRPr="00996A79" w:rsidRDefault="00D538CE" w:rsidP="00D51776">
            <w:pPr>
              <w:jc w:val="left"/>
              <w:rPr>
                <w:rFonts w:eastAsia="Times New Roman"/>
              </w:rPr>
            </w:pPr>
          </w:p>
        </w:tc>
        <w:tc>
          <w:tcPr>
            <w:tcW w:w="842" w:type="dxa"/>
            <w:vAlign w:val="center"/>
          </w:tcPr>
          <w:p w:rsidR="00D538CE" w:rsidRPr="00996A79" w:rsidRDefault="00D538CE" w:rsidP="00D51776">
            <w:pPr>
              <w:jc w:val="left"/>
              <w:rPr>
                <w:rFonts w:eastAsia="Times New Roman"/>
              </w:rPr>
            </w:pPr>
          </w:p>
        </w:tc>
        <w:tc>
          <w:tcPr>
            <w:tcW w:w="780" w:type="dxa"/>
            <w:vAlign w:val="center"/>
          </w:tcPr>
          <w:p w:rsidR="00D538CE" w:rsidRPr="00996A79" w:rsidRDefault="00D538CE" w:rsidP="00D51776">
            <w:pPr>
              <w:jc w:val="left"/>
              <w:rPr>
                <w:rFonts w:eastAsia="Times New Roman"/>
              </w:rPr>
            </w:pPr>
          </w:p>
        </w:tc>
      </w:tr>
      <w:tr w:rsidR="00D51776" w:rsidRPr="00996A79" w:rsidTr="00D51776">
        <w:tc>
          <w:tcPr>
            <w:tcW w:w="1842" w:type="dxa"/>
            <w:vAlign w:val="center"/>
          </w:tcPr>
          <w:p w:rsidR="00D538CE" w:rsidRPr="00996A79" w:rsidRDefault="00D538CE" w:rsidP="00D51776">
            <w:pPr>
              <w:jc w:val="left"/>
            </w:pPr>
          </w:p>
        </w:tc>
        <w:tc>
          <w:tcPr>
            <w:tcW w:w="2552" w:type="dxa"/>
            <w:vAlign w:val="center"/>
          </w:tcPr>
          <w:p w:rsidR="00D538CE" w:rsidRPr="00996A79" w:rsidRDefault="00D538CE" w:rsidP="00D51776">
            <w:pPr>
              <w:jc w:val="left"/>
              <w:rPr>
                <w:rFonts w:eastAsia="Times New Roman"/>
              </w:rPr>
            </w:pPr>
            <w:r w:rsidRPr="00996A79">
              <w:rPr>
                <w:rFonts w:eastAsia="Times New Roman"/>
              </w:rPr>
              <w:t>Age</w:t>
            </w:r>
          </w:p>
        </w:tc>
        <w:tc>
          <w:tcPr>
            <w:tcW w:w="850" w:type="dxa"/>
            <w:vAlign w:val="center"/>
          </w:tcPr>
          <w:p w:rsidR="00D538CE" w:rsidRPr="00996A79" w:rsidRDefault="00D538CE" w:rsidP="00D51776">
            <w:pPr>
              <w:jc w:val="left"/>
              <w:rPr>
                <w:rFonts w:eastAsia="Times New Roman"/>
              </w:rPr>
            </w:pPr>
            <w:r w:rsidRPr="00996A79">
              <w:rPr>
                <w:rFonts w:eastAsia="Times New Roman"/>
              </w:rPr>
              <w:t>F</w:t>
            </w:r>
          </w:p>
        </w:tc>
        <w:tc>
          <w:tcPr>
            <w:tcW w:w="992" w:type="dxa"/>
            <w:vAlign w:val="center"/>
          </w:tcPr>
          <w:p w:rsidR="00D538CE" w:rsidRPr="00996A79" w:rsidRDefault="00D538CE" w:rsidP="00D51776">
            <w:pPr>
              <w:jc w:val="left"/>
              <w:rPr>
                <w:rFonts w:eastAsia="Times New Roman"/>
              </w:rPr>
            </w:pPr>
          </w:p>
        </w:tc>
        <w:tc>
          <w:tcPr>
            <w:tcW w:w="851" w:type="dxa"/>
            <w:vAlign w:val="center"/>
          </w:tcPr>
          <w:p w:rsidR="00D538CE" w:rsidRPr="00996A79" w:rsidRDefault="00D538CE" w:rsidP="00D51776">
            <w:pPr>
              <w:jc w:val="left"/>
              <w:rPr>
                <w:rFonts w:eastAsia="Times New Roman"/>
              </w:rPr>
            </w:pPr>
          </w:p>
        </w:tc>
        <w:tc>
          <w:tcPr>
            <w:tcW w:w="850" w:type="dxa"/>
            <w:vAlign w:val="center"/>
          </w:tcPr>
          <w:p w:rsidR="00D538CE" w:rsidRPr="00996A79" w:rsidRDefault="00D538CE" w:rsidP="00D51776">
            <w:pPr>
              <w:jc w:val="left"/>
              <w:rPr>
                <w:rFonts w:eastAsia="Times New Roman"/>
              </w:rPr>
            </w:pPr>
          </w:p>
        </w:tc>
        <w:tc>
          <w:tcPr>
            <w:tcW w:w="842" w:type="dxa"/>
            <w:vAlign w:val="center"/>
          </w:tcPr>
          <w:p w:rsidR="00D538CE" w:rsidRPr="00996A79" w:rsidRDefault="00D538CE" w:rsidP="00D51776">
            <w:pPr>
              <w:jc w:val="left"/>
              <w:rPr>
                <w:rFonts w:eastAsia="Times New Roman"/>
              </w:rPr>
            </w:pPr>
          </w:p>
        </w:tc>
        <w:tc>
          <w:tcPr>
            <w:tcW w:w="780" w:type="dxa"/>
            <w:vAlign w:val="center"/>
          </w:tcPr>
          <w:p w:rsidR="00D538CE" w:rsidRPr="00996A79" w:rsidRDefault="00D538CE" w:rsidP="00D51776">
            <w:pPr>
              <w:jc w:val="left"/>
              <w:rPr>
                <w:rFonts w:eastAsia="Times New Roman"/>
              </w:rPr>
            </w:pPr>
          </w:p>
        </w:tc>
      </w:tr>
      <w:tr w:rsidR="00D51776" w:rsidRPr="00996A79" w:rsidTr="00D51776">
        <w:tc>
          <w:tcPr>
            <w:tcW w:w="1842" w:type="dxa"/>
            <w:vAlign w:val="center"/>
          </w:tcPr>
          <w:p w:rsidR="00D538CE" w:rsidRPr="00996A79" w:rsidRDefault="00D538CE" w:rsidP="00D51776">
            <w:pPr>
              <w:jc w:val="left"/>
            </w:pPr>
          </w:p>
        </w:tc>
        <w:tc>
          <w:tcPr>
            <w:tcW w:w="2552" w:type="dxa"/>
            <w:vAlign w:val="center"/>
          </w:tcPr>
          <w:p w:rsidR="00D538CE" w:rsidRPr="00996A79" w:rsidRDefault="00D538CE" w:rsidP="00D51776">
            <w:pPr>
              <w:jc w:val="left"/>
              <w:rPr>
                <w:rFonts w:eastAsia="Times New Roman"/>
              </w:rPr>
            </w:pPr>
            <w:r w:rsidRPr="00996A79">
              <w:rPr>
                <w:rFonts w:eastAsia="Times New Roman"/>
              </w:rPr>
              <w:t>Skin Temperature</w:t>
            </w:r>
          </w:p>
        </w:tc>
        <w:tc>
          <w:tcPr>
            <w:tcW w:w="850" w:type="dxa"/>
            <w:vAlign w:val="center"/>
          </w:tcPr>
          <w:p w:rsidR="00D538CE" w:rsidRPr="00996A79" w:rsidRDefault="00D538CE" w:rsidP="00D51776">
            <w:pPr>
              <w:jc w:val="left"/>
              <w:rPr>
                <w:rFonts w:eastAsia="Times New Roman"/>
              </w:rPr>
            </w:pPr>
            <w:r w:rsidRPr="00996A79">
              <w:rPr>
                <w:rFonts w:eastAsia="Times New Roman"/>
              </w:rPr>
              <w:t>F</w:t>
            </w:r>
          </w:p>
        </w:tc>
        <w:tc>
          <w:tcPr>
            <w:tcW w:w="992" w:type="dxa"/>
            <w:vAlign w:val="center"/>
          </w:tcPr>
          <w:p w:rsidR="00D538CE" w:rsidRPr="00996A79" w:rsidRDefault="00D538CE" w:rsidP="00D51776">
            <w:pPr>
              <w:jc w:val="left"/>
              <w:rPr>
                <w:rFonts w:eastAsia="Times New Roman"/>
              </w:rPr>
            </w:pPr>
          </w:p>
        </w:tc>
        <w:tc>
          <w:tcPr>
            <w:tcW w:w="851" w:type="dxa"/>
            <w:vAlign w:val="center"/>
          </w:tcPr>
          <w:p w:rsidR="00D538CE" w:rsidRPr="00996A79" w:rsidRDefault="00D538CE" w:rsidP="00D51776">
            <w:pPr>
              <w:jc w:val="left"/>
              <w:rPr>
                <w:rFonts w:eastAsia="Times New Roman"/>
              </w:rPr>
            </w:pPr>
          </w:p>
        </w:tc>
        <w:tc>
          <w:tcPr>
            <w:tcW w:w="850" w:type="dxa"/>
            <w:vAlign w:val="center"/>
          </w:tcPr>
          <w:p w:rsidR="00D538CE" w:rsidRPr="00996A79" w:rsidRDefault="00D538CE" w:rsidP="00D51776">
            <w:pPr>
              <w:jc w:val="left"/>
              <w:rPr>
                <w:rFonts w:eastAsia="Times New Roman"/>
              </w:rPr>
            </w:pPr>
          </w:p>
        </w:tc>
        <w:tc>
          <w:tcPr>
            <w:tcW w:w="842" w:type="dxa"/>
            <w:vAlign w:val="center"/>
          </w:tcPr>
          <w:p w:rsidR="00D538CE" w:rsidRPr="00996A79" w:rsidRDefault="00D538CE" w:rsidP="00D51776">
            <w:pPr>
              <w:jc w:val="left"/>
              <w:rPr>
                <w:rFonts w:eastAsia="Times New Roman"/>
              </w:rPr>
            </w:pPr>
          </w:p>
        </w:tc>
        <w:tc>
          <w:tcPr>
            <w:tcW w:w="780" w:type="dxa"/>
            <w:vAlign w:val="center"/>
          </w:tcPr>
          <w:p w:rsidR="00D538CE" w:rsidRPr="00996A79" w:rsidRDefault="00D538CE" w:rsidP="00D51776">
            <w:pPr>
              <w:jc w:val="left"/>
              <w:rPr>
                <w:rFonts w:eastAsia="Times New Roman"/>
              </w:rPr>
            </w:pPr>
          </w:p>
        </w:tc>
      </w:tr>
      <w:tr w:rsidR="00D51776" w:rsidRPr="00996A79" w:rsidTr="00D51776">
        <w:tc>
          <w:tcPr>
            <w:tcW w:w="1842" w:type="dxa"/>
            <w:vAlign w:val="center"/>
          </w:tcPr>
          <w:p w:rsidR="00D538CE" w:rsidRPr="00996A79" w:rsidRDefault="00D538CE" w:rsidP="00D51776">
            <w:pPr>
              <w:jc w:val="left"/>
            </w:pPr>
            <w:r w:rsidRPr="00996A79">
              <w:t>Current</w:t>
            </w:r>
          </w:p>
        </w:tc>
        <w:tc>
          <w:tcPr>
            <w:tcW w:w="2552" w:type="dxa"/>
            <w:vAlign w:val="center"/>
          </w:tcPr>
          <w:p w:rsidR="00D538CE" w:rsidRPr="00996A79" w:rsidRDefault="00D538CE" w:rsidP="00D51776">
            <w:pPr>
              <w:jc w:val="left"/>
              <w:rPr>
                <w:rFonts w:eastAsia="Times New Roman"/>
              </w:rPr>
            </w:pPr>
          </w:p>
        </w:tc>
        <w:tc>
          <w:tcPr>
            <w:tcW w:w="850" w:type="dxa"/>
            <w:vAlign w:val="center"/>
          </w:tcPr>
          <w:p w:rsidR="00D538CE" w:rsidRPr="00996A79" w:rsidRDefault="00D538CE" w:rsidP="00D51776">
            <w:pPr>
              <w:jc w:val="left"/>
              <w:rPr>
                <w:rFonts w:eastAsia="Times New Roman"/>
              </w:rPr>
            </w:pPr>
            <w:r w:rsidRPr="00996A79">
              <w:rPr>
                <w:rFonts w:eastAsia="Times New Roman"/>
              </w:rPr>
              <w:t>F</w:t>
            </w:r>
          </w:p>
        </w:tc>
        <w:tc>
          <w:tcPr>
            <w:tcW w:w="992" w:type="dxa"/>
            <w:vAlign w:val="center"/>
          </w:tcPr>
          <w:p w:rsidR="00D538CE" w:rsidRPr="00996A79" w:rsidRDefault="00D538CE" w:rsidP="00D51776">
            <w:pPr>
              <w:jc w:val="left"/>
              <w:rPr>
                <w:rFonts w:eastAsia="Times New Roman"/>
              </w:rPr>
            </w:pPr>
          </w:p>
        </w:tc>
        <w:tc>
          <w:tcPr>
            <w:tcW w:w="851" w:type="dxa"/>
            <w:vAlign w:val="center"/>
          </w:tcPr>
          <w:p w:rsidR="00D538CE" w:rsidRPr="00996A79" w:rsidRDefault="00F37B38" w:rsidP="00D51776">
            <w:pPr>
              <w:jc w:val="left"/>
              <w:rPr>
                <w:rFonts w:eastAsia="Times New Roman"/>
              </w:rPr>
            </w:pPr>
            <w:r>
              <w:rPr>
                <w:rFonts w:eastAsia="Times New Roman"/>
              </w:rPr>
              <w:t>F</w:t>
            </w:r>
          </w:p>
        </w:tc>
        <w:tc>
          <w:tcPr>
            <w:tcW w:w="850" w:type="dxa"/>
            <w:vAlign w:val="center"/>
          </w:tcPr>
          <w:p w:rsidR="00D538CE" w:rsidRPr="00996A79" w:rsidRDefault="00D538CE" w:rsidP="00D51776">
            <w:pPr>
              <w:jc w:val="left"/>
              <w:rPr>
                <w:rFonts w:eastAsia="Times New Roman"/>
              </w:rPr>
            </w:pPr>
          </w:p>
        </w:tc>
        <w:tc>
          <w:tcPr>
            <w:tcW w:w="842" w:type="dxa"/>
            <w:vAlign w:val="center"/>
          </w:tcPr>
          <w:p w:rsidR="00D538CE" w:rsidRPr="00996A79" w:rsidRDefault="00D538CE" w:rsidP="00D51776">
            <w:pPr>
              <w:jc w:val="left"/>
              <w:rPr>
                <w:rFonts w:eastAsia="Times New Roman"/>
              </w:rPr>
            </w:pPr>
          </w:p>
        </w:tc>
        <w:tc>
          <w:tcPr>
            <w:tcW w:w="780" w:type="dxa"/>
            <w:vAlign w:val="center"/>
          </w:tcPr>
          <w:p w:rsidR="00D538CE" w:rsidRPr="00996A79" w:rsidRDefault="00D538CE" w:rsidP="00D51776">
            <w:pPr>
              <w:jc w:val="left"/>
              <w:rPr>
                <w:rFonts w:eastAsia="Times New Roman"/>
              </w:rPr>
            </w:pPr>
          </w:p>
        </w:tc>
      </w:tr>
      <w:tr w:rsidR="00D51776" w:rsidRPr="00996A79" w:rsidTr="00D51776">
        <w:tc>
          <w:tcPr>
            <w:tcW w:w="1842" w:type="dxa"/>
            <w:vAlign w:val="center"/>
          </w:tcPr>
          <w:p w:rsidR="00D538CE" w:rsidRPr="00996A79" w:rsidRDefault="00D538CE" w:rsidP="00D51776">
            <w:pPr>
              <w:jc w:val="left"/>
            </w:pPr>
            <w:r w:rsidRPr="00996A79">
              <w:t>Ocean Colour</w:t>
            </w:r>
          </w:p>
        </w:tc>
        <w:tc>
          <w:tcPr>
            <w:tcW w:w="2552" w:type="dxa"/>
            <w:vAlign w:val="center"/>
          </w:tcPr>
          <w:p w:rsidR="00D538CE" w:rsidRPr="00996A79" w:rsidRDefault="00D51776" w:rsidP="00D51776">
            <w:pPr>
              <w:jc w:val="left"/>
              <w:rPr>
                <w:rFonts w:eastAsia="Times New Roman"/>
              </w:rPr>
            </w:pPr>
            <w:r>
              <w:rPr>
                <w:rFonts w:eastAsia="Times New Roman"/>
              </w:rPr>
              <w:t>Water leaving radiance</w:t>
            </w:r>
          </w:p>
        </w:tc>
        <w:tc>
          <w:tcPr>
            <w:tcW w:w="850" w:type="dxa"/>
            <w:vAlign w:val="center"/>
          </w:tcPr>
          <w:p w:rsidR="00D538CE" w:rsidRPr="00996A79" w:rsidRDefault="00D538CE" w:rsidP="00D51776">
            <w:pPr>
              <w:jc w:val="left"/>
              <w:rPr>
                <w:rFonts w:eastAsia="Times New Roman"/>
              </w:rPr>
            </w:pPr>
          </w:p>
        </w:tc>
        <w:tc>
          <w:tcPr>
            <w:tcW w:w="992" w:type="dxa"/>
            <w:vAlign w:val="center"/>
          </w:tcPr>
          <w:p w:rsidR="00D51776" w:rsidRPr="00996A79" w:rsidRDefault="00D51776" w:rsidP="00D51776">
            <w:pPr>
              <w:jc w:val="left"/>
              <w:rPr>
                <w:rFonts w:eastAsia="Times New Roman"/>
              </w:rPr>
            </w:pPr>
            <w:r>
              <w:rPr>
                <w:rFonts w:eastAsia="Times New Roman"/>
              </w:rPr>
              <w:t>B</w:t>
            </w:r>
          </w:p>
        </w:tc>
        <w:tc>
          <w:tcPr>
            <w:tcW w:w="851" w:type="dxa"/>
            <w:vAlign w:val="center"/>
          </w:tcPr>
          <w:p w:rsidR="00D538CE" w:rsidRPr="00996A79" w:rsidRDefault="00D538CE" w:rsidP="00D51776">
            <w:pPr>
              <w:jc w:val="left"/>
              <w:rPr>
                <w:rFonts w:eastAsia="Times New Roman"/>
              </w:rPr>
            </w:pPr>
          </w:p>
        </w:tc>
        <w:tc>
          <w:tcPr>
            <w:tcW w:w="850" w:type="dxa"/>
            <w:vAlign w:val="center"/>
          </w:tcPr>
          <w:p w:rsidR="00D538CE" w:rsidRPr="00996A79" w:rsidRDefault="00D538CE" w:rsidP="00D51776">
            <w:pPr>
              <w:jc w:val="left"/>
              <w:rPr>
                <w:rFonts w:eastAsia="Times New Roman"/>
              </w:rPr>
            </w:pPr>
          </w:p>
        </w:tc>
        <w:tc>
          <w:tcPr>
            <w:tcW w:w="842" w:type="dxa"/>
            <w:vAlign w:val="center"/>
          </w:tcPr>
          <w:p w:rsidR="00D538CE" w:rsidRPr="00996A79" w:rsidRDefault="00D538CE" w:rsidP="00D51776">
            <w:pPr>
              <w:jc w:val="left"/>
              <w:rPr>
                <w:rFonts w:eastAsia="Times New Roman"/>
              </w:rPr>
            </w:pPr>
          </w:p>
        </w:tc>
        <w:tc>
          <w:tcPr>
            <w:tcW w:w="780" w:type="dxa"/>
            <w:vAlign w:val="center"/>
          </w:tcPr>
          <w:p w:rsidR="00D538CE" w:rsidRPr="00996A79" w:rsidRDefault="00D538CE" w:rsidP="00D51776">
            <w:pPr>
              <w:jc w:val="left"/>
              <w:rPr>
                <w:rFonts w:eastAsia="Times New Roman"/>
              </w:rPr>
            </w:pPr>
          </w:p>
        </w:tc>
      </w:tr>
      <w:tr w:rsidR="00D51776" w:rsidRPr="00996A79" w:rsidTr="00D51776">
        <w:tc>
          <w:tcPr>
            <w:tcW w:w="1842" w:type="dxa"/>
            <w:vAlign w:val="center"/>
          </w:tcPr>
          <w:p w:rsidR="00D538CE" w:rsidRPr="00996A79" w:rsidRDefault="00D538CE" w:rsidP="00D51776">
            <w:pPr>
              <w:jc w:val="left"/>
            </w:pPr>
          </w:p>
        </w:tc>
        <w:tc>
          <w:tcPr>
            <w:tcW w:w="2552" w:type="dxa"/>
            <w:vAlign w:val="center"/>
          </w:tcPr>
          <w:p w:rsidR="00D538CE" w:rsidRPr="00996A79" w:rsidRDefault="00D538CE" w:rsidP="00D51776">
            <w:pPr>
              <w:jc w:val="left"/>
              <w:rPr>
                <w:rFonts w:eastAsia="Times New Roman"/>
              </w:rPr>
            </w:pPr>
            <w:r w:rsidRPr="00996A79">
              <w:rPr>
                <w:rFonts w:eastAsia="Times New Roman"/>
              </w:rPr>
              <w:t>Turbidity</w:t>
            </w:r>
            <w:r w:rsidR="00D51776">
              <w:rPr>
                <w:rFonts w:eastAsia="Times New Roman"/>
              </w:rPr>
              <w:t>/TSS</w:t>
            </w:r>
          </w:p>
        </w:tc>
        <w:tc>
          <w:tcPr>
            <w:tcW w:w="850" w:type="dxa"/>
            <w:vAlign w:val="center"/>
          </w:tcPr>
          <w:p w:rsidR="00D538CE" w:rsidRPr="00996A79" w:rsidRDefault="00D538CE" w:rsidP="00D51776">
            <w:pPr>
              <w:jc w:val="left"/>
              <w:rPr>
                <w:rFonts w:eastAsia="Times New Roman"/>
              </w:rPr>
            </w:pPr>
          </w:p>
        </w:tc>
        <w:tc>
          <w:tcPr>
            <w:tcW w:w="992" w:type="dxa"/>
            <w:vAlign w:val="center"/>
          </w:tcPr>
          <w:p w:rsidR="00D538CE" w:rsidRPr="00996A79" w:rsidRDefault="00D538CE" w:rsidP="00D51776">
            <w:pPr>
              <w:jc w:val="left"/>
              <w:rPr>
                <w:rFonts w:eastAsia="Times New Roman"/>
              </w:rPr>
            </w:pPr>
          </w:p>
        </w:tc>
        <w:tc>
          <w:tcPr>
            <w:tcW w:w="851" w:type="dxa"/>
            <w:vAlign w:val="center"/>
          </w:tcPr>
          <w:p w:rsidR="00D538CE" w:rsidRPr="00996A79" w:rsidRDefault="00D538CE" w:rsidP="00D51776">
            <w:pPr>
              <w:jc w:val="left"/>
              <w:rPr>
                <w:rFonts w:eastAsia="Times New Roman"/>
              </w:rPr>
            </w:pPr>
          </w:p>
        </w:tc>
        <w:tc>
          <w:tcPr>
            <w:tcW w:w="850" w:type="dxa"/>
            <w:vAlign w:val="center"/>
          </w:tcPr>
          <w:p w:rsidR="00D538CE" w:rsidRPr="00996A79" w:rsidRDefault="00D538CE" w:rsidP="00D51776">
            <w:pPr>
              <w:jc w:val="left"/>
              <w:rPr>
                <w:rFonts w:eastAsia="Times New Roman"/>
              </w:rPr>
            </w:pPr>
          </w:p>
        </w:tc>
        <w:tc>
          <w:tcPr>
            <w:tcW w:w="842" w:type="dxa"/>
            <w:vAlign w:val="center"/>
          </w:tcPr>
          <w:p w:rsidR="00D538CE" w:rsidRPr="00996A79" w:rsidRDefault="00D538CE" w:rsidP="00D51776">
            <w:pPr>
              <w:jc w:val="left"/>
              <w:rPr>
                <w:rFonts w:eastAsia="Times New Roman"/>
              </w:rPr>
            </w:pPr>
            <w:r w:rsidRPr="00996A79">
              <w:rPr>
                <w:rFonts w:eastAsia="Times New Roman"/>
              </w:rPr>
              <w:t>F</w:t>
            </w:r>
          </w:p>
        </w:tc>
        <w:tc>
          <w:tcPr>
            <w:tcW w:w="780" w:type="dxa"/>
            <w:vAlign w:val="center"/>
          </w:tcPr>
          <w:p w:rsidR="00D538CE" w:rsidRPr="00996A79" w:rsidRDefault="00D538CE" w:rsidP="00D51776">
            <w:pPr>
              <w:jc w:val="left"/>
              <w:rPr>
                <w:rFonts w:eastAsia="Times New Roman"/>
              </w:rPr>
            </w:pPr>
            <w:r w:rsidRPr="00996A79">
              <w:rPr>
                <w:rFonts w:eastAsia="Times New Roman"/>
              </w:rPr>
              <w:t>F</w:t>
            </w:r>
          </w:p>
        </w:tc>
      </w:tr>
      <w:tr w:rsidR="00D51776" w:rsidRPr="00996A79" w:rsidTr="00D51776">
        <w:tc>
          <w:tcPr>
            <w:tcW w:w="1842" w:type="dxa"/>
            <w:vAlign w:val="center"/>
          </w:tcPr>
          <w:p w:rsidR="00D51776" w:rsidRPr="00996A79" w:rsidRDefault="00D51776" w:rsidP="00D51776">
            <w:pPr>
              <w:jc w:val="left"/>
            </w:pPr>
          </w:p>
        </w:tc>
        <w:tc>
          <w:tcPr>
            <w:tcW w:w="2552" w:type="dxa"/>
            <w:vAlign w:val="center"/>
          </w:tcPr>
          <w:p w:rsidR="00D51776" w:rsidRPr="00996A79" w:rsidRDefault="00D51776" w:rsidP="00D51776">
            <w:pPr>
              <w:jc w:val="left"/>
              <w:rPr>
                <w:rFonts w:eastAsia="Times New Roman"/>
              </w:rPr>
            </w:pPr>
            <w:r>
              <w:rPr>
                <w:rFonts w:eastAsia="Times New Roman"/>
              </w:rPr>
              <w:t>Chlorophyll-a</w:t>
            </w:r>
          </w:p>
        </w:tc>
        <w:tc>
          <w:tcPr>
            <w:tcW w:w="850" w:type="dxa"/>
            <w:vAlign w:val="center"/>
          </w:tcPr>
          <w:p w:rsidR="00D51776" w:rsidRPr="00996A79" w:rsidRDefault="00D51776" w:rsidP="00D51776">
            <w:pPr>
              <w:jc w:val="left"/>
              <w:rPr>
                <w:rFonts w:eastAsia="Times New Roman"/>
              </w:rPr>
            </w:pPr>
          </w:p>
        </w:tc>
        <w:tc>
          <w:tcPr>
            <w:tcW w:w="992" w:type="dxa"/>
            <w:vAlign w:val="center"/>
          </w:tcPr>
          <w:p w:rsidR="00D51776" w:rsidRPr="00996A79" w:rsidRDefault="00D51776" w:rsidP="00D51776">
            <w:pPr>
              <w:jc w:val="left"/>
              <w:rPr>
                <w:rFonts w:eastAsia="Times New Roman"/>
              </w:rPr>
            </w:pPr>
            <w:r>
              <w:rPr>
                <w:rFonts w:eastAsia="Times New Roman"/>
              </w:rPr>
              <w:t>B</w:t>
            </w:r>
          </w:p>
        </w:tc>
        <w:tc>
          <w:tcPr>
            <w:tcW w:w="851" w:type="dxa"/>
            <w:vAlign w:val="center"/>
          </w:tcPr>
          <w:p w:rsidR="00D51776" w:rsidRPr="00996A79" w:rsidRDefault="00D51776" w:rsidP="00D51776">
            <w:pPr>
              <w:jc w:val="left"/>
              <w:rPr>
                <w:rFonts w:eastAsia="Times New Roman"/>
              </w:rPr>
            </w:pPr>
          </w:p>
        </w:tc>
        <w:tc>
          <w:tcPr>
            <w:tcW w:w="850" w:type="dxa"/>
            <w:vAlign w:val="center"/>
          </w:tcPr>
          <w:p w:rsidR="00D51776" w:rsidRPr="00996A79" w:rsidRDefault="00D51776" w:rsidP="00D51776">
            <w:pPr>
              <w:jc w:val="left"/>
              <w:rPr>
                <w:rFonts w:eastAsia="Times New Roman"/>
              </w:rPr>
            </w:pPr>
          </w:p>
        </w:tc>
        <w:tc>
          <w:tcPr>
            <w:tcW w:w="842" w:type="dxa"/>
            <w:vAlign w:val="center"/>
          </w:tcPr>
          <w:p w:rsidR="00D51776" w:rsidRPr="00996A79" w:rsidRDefault="00D51776" w:rsidP="00D51776">
            <w:pPr>
              <w:jc w:val="left"/>
              <w:rPr>
                <w:rFonts w:eastAsia="Times New Roman"/>
              </w:rPr>
            </w:pPr>
          </w:p>
        </w:tc>
        <w:tc>
          <w:tcPr>
            <w:tcW w:w="780" w:type="dxa"/>
            <w:vAlign w:val="center"/>
          </w:tcPr>
          <w:p w:rsidR="00D51776" w:rsidRPr="00996A79" w:rsidRDefault="00D51776" w:rsidP="00D51776">
            <w:pPr>
              <w:jc w:val="left"/>
              <w:rPr>
                <w:rFonts w:eastAsia="Times New Roman"/>
              </w:rPr>
            </w:pPr>
          </w:p>
        </w:tc>
      </w:tr>
      <w:tr w:rsidR="00D51776" w:rsidRPr="00996A79" w:rsidTr="00D51776">
        <w:tc>
          <w:tcPr>
            <w:tcW w:w="1842" w:type="dxa"/>
            <w:vAlign w:val="center"/>
          </w:tcPr>
          <w:p w:rsidR="00D538CE" w:rsidRPr="00996A79" w:rsidRDefault="00D538CE" w:rsidP="00D51776">
            <w:pPr>
              <w:jc w:val="left"/>
            </w:pPr>
          </w:p>
        </w:tc>
        <w:tc>
          <w:tcPr>
            <w:tcW w:w="2552" w:type="dxa"/>
            <w:vAlign w:val="center"/>
          </w:tcPr>
          <w:p w:rsidR="00D538CE" w:rsidRPr="00996A79" w:rsidRDefault="00D538CE" w:rsidP="00D51776">
            <w:pPr>
              <w:jc w:val="left"/>
              <w:rPr>
                <w:rFonts w:eastAsia="Times New Roman"/>
              </w:rPr>
            </w:pPr>
            <w:r w:rsidRPr="00996A79">
              <w:rPr>
                <w:rFonts w:eastAsia="Times New Roman"/>
              </w:rPr>
              <w:t>Blue-green algae</w:t>
            </w:r>
          </w:p>
        </w:tc>
        <w:tc>
          <w:tcPr>
            <w:tcW w:w="850" w:type="dxa"/>
            <w:vAlign w:val="center"/>
          </w:tcPr>
          <w:p w:rsidR="00D538CE" w:rsidRPr="00996A79" w:rsidRDefault="00D538CE" w:rsidP="00D51776">
            <w:pPr>
              <w:jc w:val="left"/>
              <w:rPr>
                <w:rFonts w:eastAsia="Times New Roman"/>
              </w:rPr>
            </w:pPr>
          </w:p>
        </w:tc>
        <w:tc>
          <w:tcPr>
            <w:tcW w:w="992" w:type="dxa"/>
            <w:vAlign w:val="center"/>
          </w:tcPr>
          <w:p w:rsidR="00D538CE" w:rsidRPr="00996A79" w:rsidRDefault="00D538CE" w:rsidP="00D51776">
            <w:pPr>
              <w:jc w:val="left"/>
              <w:rPr>
                <w:rFonts w:eastAsia="Times New Roman"/>
              </w:rPr>
            </w:pPr>
          </w:p>
        </w:tc>
        <w:tc>
          <w:tcPr>
            <w:tcW w:w="851" w:type="dxa"/>
            <w:vAlign w:val="center"/>
          </w:tcPr>
          <w:p w:rsidR="00D538CE" w:rsidRPr="00996A79" w:rsidRDefault="00D538CE" w:rsidP="00D51776">
            <w:pPr>
              <w:jc w:val="left"/>
              <w:rPr>
                <w:rFonts w:eastAsia="Times New Roman"/>
              </w:rPr>
            </w:pPr>
          </w:p>
        </w:tc>
        <w:tc>
          <w:tcPr>
            <w:tcW w:w="850" w:type="dxa"/>
            <w:vAlign w:val="center"/>
          </w:tcPr>
          <w:p w:rsidR="00D538CE" w:rsidRPr="00996A79" w:rsidRDefault="00D538CE" w:rsidP="00D51776">
            <w:pPr>
              <w:jc w:val="left"/>
              <w:rPr>
                <w:rFonts w:eastAsia="Times New Roman"/>
              </w:rPr>
            </w:pPr>
            <w:r w:rsidRPr="00996A79">
              <w:rPr>
                <w:rFonts w:eastAsia="Times New Roman"/>
              </w:rPr>
              <w:t>B</w:t>
            </w:r>
          </w:p>
        </w:tc>
        <w:tc>
          <w:tcPr>
            <w:tcW w:w="842" w:type="dxa"/>
            <w:vAlign w:val="center"/>
          </w:tcPr>
          <w:p w:rsidR="00D538CE" w:rsidRPr="00996A79" w:rsidRDefault="00D538CE" w:rsidP="00D51776">
            <w:pPr>
              <w:jc w:val="left"/>
              <w:rPr>
                <w:rFonts w:eastAsia="Times New Roman"/>
              </w:rPr>
            </w:pPr>
          </w:p>
        </w:tc>
        <w:tc>
          <w:tcPr>
            <w:tcW w:w="780" w:type="dxa"/>
            <w:vAlign w:val="center"/>
          </w:tcPr>
          <w:p w:rsidR="00D538CE" w:rsidRPr="00996A79" w:rsidRDefault="00D538CE" w:rsidP="00D51776">
            <w:pPr>
              <w:jc w:val="left"/>
              <w:rPr>
                <w:rFonts w:eastAsia="Times New Roman"/>
              </w:rPr>
            </w:pPr>
          </w:p>
        </w:tc>
      </w:tr>
    </w:tbl>
    <w:p w:rsidR="00DB2DDD" w:rsidRPr="00DB2DDD" w:rsidRDefault="00D538CE" w:rsidP="00D4272F">
      <w:pPr>
        <w:spacing w:before="120"/>
      </w:pPr>
      <w:r w:rsidRPr="00996A79">
        <w:t xml:space="preserve">Most of the products and parameters in Table </w:t>
      </w:r>
      <w:r w:rsidR="00807835">
        <w:t>6</w:t>
      </w:r>
      <w:r w:rsidRPr="00996A79">
        <w:t xml:space="preserve"> are derived for every repeat cycle and full resolution in Near-Real Time.</w:t>
      </w:r>
    </w:p>
    <w:p w:rsidR="00D538CE" w:rsidRPr="00D538CE" w:rsidRDefault="00D538CE" w:rsidP="00120261">
      <w:pPr>
        <w:pStyle w:val="Heading3"/>
        <w:rPr>
          <w:sz w:val="22"/>
          <w:szCs w:val="22"/>
        </w:rPr>
      </w:pPr>
      <w:r>
        <w:t>Sea Surface Temperature</w:t>
      </w:r>
    </w:p>
    <w:p w:rsidR="00D538CE" w:rsidRPr="00996A79" w:rsidRDefault="00D538CE" w:rsidP="00D538CE">
      <w:pPr>
        <w:rPr>
          <w:rFonts w:eastAsia="Times New Roman"/>
        </w:rPr>
      </w:pPr>
      <w:r w:rsidRPr="00996A79">
        <w:rPr>
          <w:lang w:val="en-GB"/>
        </w:rPr>
        <w:t xml:space="preserve">Sea Surface Temperature (SST) is needed for the accurate understanding of climate variability and weather prediction. Today ocean-atmosphere coupled modelling is mandatory to advance the performance of numerical models with SST as a prime variable in addition to the dynamic parameters like sea surface roughness and waves. </w:t>
      </w:r>
    </w:p>
    <w:p w:rsidR="00D538CE" w:rsidRPr="00D538CE" w:rsidRDefault="00D538CE" w:rsidP="00D51776">
      <w:pPr>
        <w:rPr>
          <w:rFonts w:eastAsia="Times New Roman"/>
          <w:lang w:val="en-GB" w:eastAsia="en-GB"/>
        </w:rPr>
      </w:pPr>
      <w:r w:rsidRPr="00996A79">
        <w:rPr>
          <w:lang w:val="en-GB"/>
        </w:rPr>
        <w:t xml:space="preserve">Whilst SST can be measured accurately with buoys and other methods, satellite data is also required for a full characterisation of the SST. </w:t>
      </w:r>
      <w:r w:rsidRPr="00996A79">
        <w:rPr>
          <w:rFonts w:eastAsia="Times New Roman"/>
          <w:lang w:val="en-GB" w:eastAsia="en-GB"/>
        </w:rPr>
        <w:t>The Group for High Resolution SST (</w:t>
      </w:r>
      <w:r w:rsidRPr="006E78B2">
        <w:rPr>
          <w:rFonts w:asciiTheme="minorHAnsi" w:eastAsia="Times New Roman" w:hAnsiTheme="minorHAnsi"/>
          <w:lang w:val="en-GB" w:eastAsia="en-GB"/>
        </w:rPr>
        <w:t xml:space="preserve">GHRSST; see </w:t>
      </w:r>
      <w:hyperlink r:id="rId42" w:history="1">
        <w:r w:rsidRPr="006E78B2">
          <w:rPr>
            <w:rStyle w:val="Hyperlink"/>
            <w:rFonts w:asciiTheme="minorHAnsi" w:eastAsia="Times New Roman" w:hAnsiTheme="minorHAnsi" w:cs="Arial"/>
            <w:lang w:val="en-GB" w:eastAsia="en-GB"/>
          </w:rPr>
          <w:t>http://www.ghrsst.org/</w:t>
        </w:r>
      </w:hyperlink>
      <w:r w:rsidRPr="006E78B2">
        <w:rPr>
          <w:rFonts w:asciiTheme="minorHAnsi" w:eastAsia="Times New Roman" w:hAnsiTheme="minorHAnsi"/>
          <w:lang w:val="en-GB" w:eastAsia="en-GB"/>
        </w:rPr>
        <w:t>)</w:t>
      </w:r>
      <w:r w:rsidRPr="00996A79">
        <w:rPr>
          <w:rFonts w:eastAsia="Times New Roman"/>
          <w:lang w:val="en-GB" w:eastAsia="en-GB"/>
        </w:rPr>
        <w:t xml:space="preserve"> combines all various sources for a comprehensive SST product. In this context it is important to note that satellite data provides the so-called skin-temperature which according to GHRSST </w:t>
      </w:r>
      <w:r w:rsidRPr="00996A79">
        <w:rPr>
          <w:rFonts w:eastAsia="Times New Roman"/>
          <w:bCs/>
          <w:lang w:val="en-GB" w:eastAsia="en-GB"/>
        </w:rPr>
        <w:t>is defined as the temperature measured by an infrared radiometer</w:t>
      </w:r>
      <w:r w:rsidRPr="00996A79">
        <w:rPr>
          <w:rFonts w:eastAsia="Times New Roman"/>
          <w:lang w:val="en-GB" w:eastAsia="en-GB"/>
        </w:rPr>
        <w:t xml:space="preserve"> typically operating at wavelengths 3.7-12 µm that represents the temperature within the conductive diffusion-dominated sub-layer at a depth of ~10-20 µm. The SST skin measurements are subject to a large potential diurnal cycle.</w:t>
      </w:r>
    </w:p>
    <w:p w:rsidR="00D538CE" w:rsidRDefault="00D538CE" w:rsidP="00D538CE">
      <w:pPr>
        <w:rPr>
          <w:lang w:val="en-GB"/>
        </w:rPr>
      </w:pPr>
      <w:r w:rsidRPr="00996A79">
        <w:rPr>
          <w:lang w:val="en-GB"/>
        </w:rPr>
        <w:t xml:space="preserve">SSTs has been one of the early non-meteorological applications from meteorological geostationary satellites, but with limited utility due to poor calibration and single infrared band observations. Since the advent of split-window capabilities in the infrared window band, accurate retrieval of SST has become possible. </w:t>
      </w:r>
      <w:r>
        <w:rPr>
          <w:lang w:val="en-GB"/>
        </w:rPr>
        <w:t>However with the further improvements in instrumentation g</w:t>
      </w:r>
      <w:r w:rsidRPr="00996A79">
        <w:rPr>
          <w:lang w:val="en-GB"/>
        </w:rPr>
        <w:t>eostationary satellite data is also becoming increasingly important due to the improved capabilities of the new generation imagers and their improved calibration and characterisation of the instrument.</w:t>
      </w:r>
      <w:r>
        <w:rPr>
          <w:lang w:val="en-GB"/>
        </w:rPr>
        <w:t xml:space="preserve"> An important aspect is t</w:t>
      </w:r>
      <w:r w:rsidRPr="00996A79">
        <w:rPr>
          <w:lang w:val="en-GB"/>
        </w:rPr>
        <w:t xml:space="preserve">he availability of multispectral information </w:t>
      </w:r>
      <w:r>
        <w:rPr>
          <w:lang w:val="en-GB"/>
        </w:rPr>
        <w:t>which is</w:t>
      </w:r>
      <w:r w:rsidRPr="00996A79">
        <w:rPr>
          <w:lang w:val="en-GB"/>
        </w:rPr>
        <w:t xml:space="preserve"> critical for </w:t>
      </w:r>
      <w:r>
        <w:rPr>
          <w:lang w:val="en-GB"/>
        </w:rPr>
        <w:t>effective</w:t>
      </w:r>
      <w:r w:rsidRPr="00996A79">
        <w:rPr>
          <w:lang w:val="en-GB"/>
        </w:rPr>
        <w:t xml:space="preserve"> thin cirrus detection and moisture corrections.</w:t>
      </w:r>
    </w:p>
    <w:p w:rsidR="00BC7D2F" w:rsidRDefault="00BC7D2F" w:rsidP="00747E63"/>
    <w:p w:rsidR="00D538CE" w:rsidRDefault="00D538CE" w:rsidP="00D2086C">
      <w:pPr>
        <w:keepNext/>
        <w:jc w:val="center"/>
      </w:pPr>
      <w:r w:rsidRPr="00D538CE">
        <w:rPr>
          <w:noProof/>
          <w:lang w:val="en-US" w:eastAsia="en-US"/>
        </w:rPr>
        <w:drawing>
          <wp:inline distT="0" distB="0" distL="0" distR="0">
            <wp:extent cx="2959811" cy="3271729"/>
            <wp:effectExtent l="1905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2962071" cy="3274228"/>
                    </a:xfrm>
                    <a:prstGeom prst="rect">
                      <a:avLst/>
                    </a:prstGeom>
                    <a:noFill/>
                    <a:ln w="9525">
                      <a:noFill/>
                      <a:miter lim="800000"/>
                      <a:headEnd/>
                      <a:tailEnd/>
                    </a:ln>
                  </pic:spPr>
                </pic:pic>
              </a:graphicData>
            </a:graphic>
          </wp:inline>
        </w:drawing>
      </w:r>
    </w:p>
    <w:p w:rsidR="00BC7D2F" w:rsidRDefault="00D538CE" w:rsidP="00D2086C">
      <w:pPr>
        <w:pStyle w:val="Caption"/>
        <w:jc w:val="center"/>
      </w:pPr>
      <w:bookmarkStart w:id="38" w:name="_Toc460923872"/>
      <w:r>
        <w:t xml:space="preserve">Figure </w:t>
      </w:r>
      <w:r w:rsidR="00E27A82">
        <w:fldChar w:fldCharType="begin"/>
      </w:r>
      <w:r w:rsidR="002D15AB">
        <w:instrText xml:space="preserve"> SEQ Figure \* ARABIC </w:instrText>
      </w:r>
      <w:r w:rsidR="00E27A82">
        <w:fldChar w:fldCharType="separate"/>
      </w:r>
      <w:r w:rsidR="00ED66C2">
        <w:rPr>
          <w:noProof/>
        </w:rPr>
        <w:t>15</w:t>
      </w:r>
      <w:r w:rsidR="00E27A82">
        <w:fldChar w:fldCharType="end"/>
      </w:r>
      <w:r w:rsidR="00280800">
        <w:t>:</w:t>
      </w:r>
      <w:r>
        <w:t xml:space="preserve"> </w:t>
      </w:r>
      <w:r w:rsidRPr="00996A79">
        <w:rPr>
          <w:lang w:val="en-GB"/>
        </w:rPr>
        <w:t xml:space="preserve">SST from Himawari-8 using GOES-R </w:t>
      </w:r>
      <w:r w:rsidRPr="00D2086C">
        <w:rPr>
          <w:szCs w:val="20"/>
          <w:lang w:val="en-GB"/>
        </w:rPr>
        <w:t xml:space="preserve">algorithm </w:t>
      </w:r>
      <w:r w:rsidR="005834B0">
        <w:rPr>
          <w:szCs w:val="20"/>
          <w:lang w:val="en-GB"/>
        </w:rPr>
        <w:t>(</w:t>
      </w:r>
      <w:r w:rsidR="00B335D7" w:rsidRPr="00B335D7">
        <w:rPr>
          <w:rFonts w:asciiTheme="minorHAnsi" w:hAnsiTheme="minorHAnsi" w:cstheme="minorHAnsi"/>
          <w:szCs w:val="20"/>
        </w:rPr>
        <w:t>Courtesy A. Ignatov, NOAA NESDIS Center for Satellite Applications and Research (STAR)</w:t>
      </w:r>
      <w:r w:rsidR="005834B0">
        <w:rPr>
          <w:rFonts w:asciiTheme="minorHAnsi" w:hAnsiTheme="minorHAnsi" w:cstheme="minorHAnsi"/>
          <w:szCs w:val="20"/>
        </w:rPr>
        <w:t>)</w:t>
      </w:r>
      <w:r w:rsidR="00280800">
        <w:rPr>
          <w:rFonts w:asciiTheme="minorHAnsi" w:hAnsiTheme="minorHAnsi" w:cstheme="minorHAnsi"/>
          <w:szCs w:val="20"/>
        </w:rPr>
        <w:t>.</w:t>
      </w:r>
      <w:bookmarkEnd w:id="38"/>
    </w:p>
    <w:p w:rsidR="00BC7D2F" w:rsidRPr="006F1565" w:rsidRDefault="00D538CE" w:rsidP="00747E63">
      <w:pPr>
        <w:rPr>
          <w:lang w:val="en-GB"/>
        </w:rPr>
      </w:pPr>
      <w:r w:rsidRPr="00996A79">
        <w:rPr>
          <w:lang w:val="en-GB"/>
        </w:rPr>
        <w:t xml:space="preserve">This improved calibration and instrument characterisation, supported by intercalibration activities (see GSICS in chapter 5) </w:t>
      </w:r>
      <w:r>
        <w:rPr>
          <w:lang w:val="en-GB"/>
        </w:rPr>
        <w:t>now enable</w:t>
      </w:r>
      <w:r w:rsidRPr="00996A79">
        <w:rPr>
          <w:lang w:val="en-GB"/>
        </w:rPr>
        <w:t xml:space="preserve"> the derivation of the SST with an accuracy of 0.2 K or better. </w:t>
      </w:r>
    </w:p>
    <w:p w:rsidR="00D538CE" w:rsidRDefault="00D538CE" w:rsidP="00D538CE">
      <w:pPr>
        <w:keepNext/>
        <w:jc w:val="center"/>
      </w:pPr>
      <w:r w:rsidRPr="00D538CE">
        <w:rPr>
          <w:noProof/>
          <w:lang w:val="en-US" w:eastAsia="en-US"/>
        </w:rPr>
        <w:drawing>
          <wp:inline distT="0" distB="0" distL="0" distR="0">
            <wp:extent cx="1790649" cy="3681116"/>
            <wp:effectExtent l="19050" t="0" r="51"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rotWithShape="1">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6" b="5620"/>
                    <a:stretch/>
                  </pic:blipFill>
                  <pic:spPr>
                    <a:xfrm>
                      <a:off x="0" y="0"/>
                      <a:ext cx="1791893" cy="3683673"/>
                    </a:xfrm>
                    <a:prstGeom prst="rect">
                      <a:avLst/>
                    </a:prstGeom>
                  </pic:spPr>
                </pic:pic>
              </a:graphicData>
            </a:graphic>
          </wp:inline>
        </w:drawing>
      </w:r>
      <w:r w:rsidRPr="00D538CE">
        <w:rPr>
          <w:noProof/>
          <w:lang w:val="en-US" w:eastAsia="en-US"/>
        </w:rPr>
        <w:drawing>
          <wp:inline distT="0" distB="0" distL="0" distR="0">
            <wp:extent cx="1791134" cy="3682800"/>
            <wp:effectExtent l="1905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pic:cNvPicPr>
                  </pic:nvPicPr>
                  <pic:blipFill rotWithShape="1">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6" b="5620"/>
                    <a:stretch/>
                  </pic:blipFill>
                  <pic:spPr>
                    <a:xfrm>
                      <a:off x="0" y="0"/>
                      <a:ext cx="1791134" cy="3682800"/>
                    </a:xfrm>
                    <a:prstGeom prst="rect">
                      <a:avLst/>
                    </a:prstGeom>
                  </pic:spPr>
                </pic:pic>
              </a:graphicData>
            </a:graphic>
          </wp:inline>
        </w:drawing>
      </w:r>
      <w:r w:rsidRPr="00D538CE">
        <w:rPr>
          <w:noProof/>
          <w:lang w:val="en-US" w:eastAsia="en-US"/>
        </w:rPr>
        <w:drawing>
          <wp:inline distT="0" distB="0" distL="0" distR="0">
            <wp:extent cx="1765858" cy="3370934"/>
            <wp:effectExtent l="19050" t="0" r="5792"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rotWithShape="1">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000" b="6167"/>
                    <a:stretch/>
                  </pic:blipFill>
                  <pic:spPr>
                    <a:xfrm>
                      <a:off x="0" y="0"/>
                      <a:ext cx="1771048" cy="3380841"/>
                    </a:xfrm>
                    <a:prstGeom prst="rect">
                      <a:avLst/>
                    </a:prstGeom>
                  </pic:spPr>
                </pic:pic>
              </a:graphicData>
            </a:graphic>
          </wp:inline>
        </w:drawing>
      </w:r>
    </w:p>
    <w:p w:rsidR="00D538CE" w:rsidRPr="00D538CE" w:rsidRDefault="00D538CE" w:rsidP="00D538CE">
      <w:pPr>
        <w:pStyle w:val="Caption"/>
        <w:jc w:val="center"/>
      </w:pPr>
      <w:bookmarkStart w:id="39" w:name="_Toc460923873"/>
      <w:r>
        <w:t xml:space="preserve">Figure </w:t>
      </w:r>
      <w:r w:rsidR="00E27A82">
        <w:fldChar w:fldCharType="begin"/>
      </w:r>
      <w:r w:rsidR="002D15AB">
        <w:instrText xml:space="preserve"> SEQ Figure \* ARABIC </w:instrText>
      </w:r>
      <w:r w:rsidR="00E27A82">
        <w:fldChar w:fldCharType="separate"/>
      </w:r>
      <w:r w:rsidR="00ED66C2">
        <w:rPr>
          <w:noProof/>
        </w:rPr>
        <w:t>16</w:t>
      </w:r>
      <w:r w:rsidR="00E27A82">
        <w:fldChar w:fldCharType="end"/>
      </w:r>
      <w:r w:rsidR="00280800">
        <w:t>:</w:t>
      </w:r>
      <w:r>
        <w:t xml:space="preserve"> </w:t>
      </w:r>
      <w:r w:rsidRPr="00996A79">
        <w:rPr>
          <w:lang w:val="en-GB"/>
        </w:rPr>
        <w:t xml:space="preserve">Impact of application of GSICS corrections to the retrieval of SST </w:t>
      </w:r>
      <w:r>
        <w:rPr>
          <w:lang w:val="en-GB"/>
        </w:rPr>
        <w:t>Uncorrected SSTs observations (top left day-time, top right night-time) and associated GSICS corrected observations (</w:t>
      </w:r>
      <w:r w:rsidRPr="00D2086C">
        <w:rPr>
          <w:szCs w:val="20"/>
          <w:lang w:val="en-GB"/>
        </w:rPr>
        <w:t>bottom</w:t>
      </w:r>
      <w:r w:rsidR="00B335D7" w:rsidRPr="00B335D7">
        <w:rPr>
          <w:rFonts w:asciiTheme="minorHAnsi" w:hAnsiTheme="minorHAnsi" w:cstheme="minorHAnsi"/>
          <w:b w:val="0"/>
          <w:szCs w:val="20"/>
          <w:lang w:val="en-GB"/>
        </w:rPr>
        <w:t xml:space="preserve">) </w:t>
      </w:r>
      <w:r w:rsidR="00B335D7" w:rsidRPr="00B335D7">
        <w:rPr>
          <w:rFonts w:asciiTheme="minorHAnsi" w:hAnsiTheme="minorHAnsi" w:cstheme="minorHAnsi"/>
          <w:szCs w:val="20"/>
          <w:lang w:val="en-GB"/>
        </w:rPr>
        <w:t>(</w:t>
      </w:r>
      <w:r w:rsidR="00E11AAE" w:rsidRPr="001E5C53">
        <w:rPr>
          <w:shd w:val="clear" w:color="auto" w:fill="FFFFFF"/>
        </w:rPr>
        <w:t>CGMS-44-KMA-WP-01</w:t>
      </w:r>
      <w:r w:rsidR="00B335D7" w:rsidRPr="00B335D7">
        <w:rPr>
          <w:rFonts w:asciiTheme="minorHAnsi" w:hAnsiTheme="minorHAnsi" w:cstheme="minorHAnsi"/>
          <w:szCs w:val="20"/>
          <w:lang w:val="en-GB"/>
        </w:rPr>
        <w:t>, 2016</w:t>
      </w:r>
      <w:r w:rsidR="005834B0">
        <w:rPr>
          <w:rFonts w:asciiTheme="minorHAnsi" w:hAnsiTheme="minorHAnsi" w:cstheme="minorHAnsi"/>
          <w:szCs w:val="20"/>
          <w:lang w:val="en-GB"/>
        </w:rPr>
        <w:t>)</w:t>
      </w:r>
      <w:r w:rsidR="00280800">
        <w:rPr>
          <w:rFonts w:asciiTheme="minorHAnsi" w:hAnsiTheme="minorHAnsi" w:cstheme="minorHAnsi"/>
          <w:szCs w:val="20"/>
          <w:lang w:val="en-GB"/>
        </w:rPr>
        <w:t>.</w:t>
      </w:r>
      <w:bookmarkEnd w:id="39"/>
    </w:p>
    <w:p w:rsidR="00D538CE" w:rsidRDefault="00D538CE" w:rsidP="006F1565">
      <w:pPr>
        <w:spacing w:after="240"/>
        <w:rPr>
          <w:lang w:val="en-GB"/>
        </w:rPr>
      </w:pPr>
      <w:r w:rsidRPr="00996A79">
        <w:rPr>
          <w:lang w:val="en-GB"/>
        </w:rPr>
        <w:t xml:space="preserve">The large scale behaviour of SST can well be captured by polar orbiting satellite data and the general diurnal cycle described by four observations per day satisfying the Nyquist sampling requirements. Geostationary satellite data are </w:t>
      </w:r>
      <w:r>
        <w:rPr>
          <w:lang w:val="en-GB"/>
        </w:rPr>
        <w:t xml:space="preserve">however </w:t>
      </w:r>
      <w:r w:rsidRPr="00996A79">
        <w:rPr>
          <w:lang w:val="en-GB"/>
        </w:rPr>
        <w:t xml:space="preserve">also required in order to guarantee sufficient cloud free observations </w:t>
      </w:r>
      <w:r>
        <w:rPr>
          <w:lang w:val="en-GB"/>
        </w:rPr>
        <w:t xml:space="preserve">during the day but also for a more accurate depiction of </w:t>
      </w:r>
      <w:r w:rsidRPr="00996A79">
        <w:rPr>
          <w:lang w:val="en-GB"/>
        </w:rPr>
        <w:t>the diurnal cycle</w:t>
      </w:r>
      <w:r>
        <w:rPr>
          <w:lang w:val="en-GB"/>
        </w:rPr>
        <w:t>. This enables developing a better understanding of the sea surface process e.g. as shown below, where the diurnal cycle as depicted by satellite data is significant</w:t>
      </w:r>
      <w:r w:rsidR="00D2086C">
        <w:rPr>
          <w:lang w:val="en-GB"/>
        </w:rPr>
        <w:t>ly</w:t>
      </w:r>
      <w:r>
        <w:rPr>
          <w:lang w:val="en-GB"/>
        </w:rPr>
        <w:t xml:space="preserve"> different from that just below the surface.</w:t>
      </w:r>
    </w:p>
    <w:p w:rsidR="00D538CE" w:rsidRDefault="00D538CE" w:rsidP="00D538CE">
      <w:pPr>
        <w:keepNext/>
        <w:jc w:val="center"/>
      </w:pPr>
      <w:r w:rsidRPr="00D538CE">
        <w:rPr>
          <w:noProof/>
          <w:lang w:val="en-US" w:eastAsia="en-US"/>
        </w:rPr>
        <w:drawing>
          <wp:inline distT="0" distB="0" distL="0" distR="0">
            <wp:extent cx="2694889" cy="2545689"/>
            <wp:effectExtent l="19050" t="0" r="0" b="0"/>
            <wp:docPr id="24" name="Picture 13" descr="\\Ermitage220\data\sonia.pere\Mes documents\glo_cov0_summer2011_glo_0sat_bis_lst_sst_msr_vs_lstsat_test_lim_all.gif"/>
            <wp:cNvGraphicFramePr/>
            <a:graphic xmlns:a="http://schemas.openxmlformats.org/drawingml/2006/main">
              <a:graphicData uri="http://schemas.openxmlformats.org/drawingml/2006/picture">
                <pic:pic xmlns:pic="http://schemas.openxmlformats.org/drawingml/2006/picture">
                  <pic:nvPicPr>
                    <pic:cNvPr id="283651" name="Picture 13" descr="\\Ermitage220\data\sonia.pere\Mes documents\glo_cov0_summer2011_glo_0sat_bis_lst_sst_msr_vs_lstsat_test_lim_all.gif"/>
                    <pic:cNvPicPr>
                      <a:picLocks noChangeAspect="1" noChangeArrowheads="1"/>
                    </pic:cNvPicPr>
                  </pic:nvPicPr>
                  <pic:blipFill>
                    <a:blip r:embed="rId46" cstate="print"/>
                    <a:srcRect l="5490" b="3064"/>
                    <a:stretch>
                      <a:fillRect/>
                    </a:stretch>
                  </pic:blipFill>
                  <pic:spPr bwMode="auto">
                    <a:xfrm>
                      <a:off x="0" y="0"/>
                      <a:ext cx="2694889" cy="2545689"/>
                    </a:xfrm>
                    <a:prstGeom prst="rect">
                      <a:avLst/>
                    </a:prstGeom>
                    <a:noFill/>
                    <a:ln w="9525">
                      <a:noFill/>
                      <a:miter lim="800000"/>
                      <a:headEnd/>
                      <a:tailEnd/>
                    </a:ln>
                  </pic:spPr>
                </pic:pic>
              </a:graphicData>
            </a:graphic>
          </wp:inline>
        </w:drawing>
      </w:r>
    </w:p>
    <w:p w:rsidR="00D20DB3" w:rsidRDefault="00276A8D" w:rsidP="006F1565">
      <w:pPr>
        <w:pStyle w:val="Caption"/>
        <w:spacing w:before="0"/>
        <w:jc w:val="center"/>
        <w:rPr>
          <w:rFonts w:ascii="Times New Roman" w:eastAsia="Times New Roman" w:hAnsi="Times New Roman"/>
          <w:color w:val="auto"/>
          <w:lang w:val="en-GB" w:eastAsia="en-GB"/>
        </w:rPr>
      </w:pPr>
      <w:bookmarkStart w:id="40" w:name="_Toc460923874"/>
      <w:r w:rsidRPr="00276A8D">
        <w:t xml:space="preserve">Figure </w:t>
      </w:r>
      <w:r w:rsidR="00E27A82">
        <w:fldChar w:fldCharType="begin"/>
      </w:r>
      <w:r w:rsidR="002D15AB">
        <w:instrText xml:space="preserve"> SEQ Figure \* ARABIC </w:instrText>
      </w:r>
      <w:r w:rsidR="00E27A82">
        <w:fldChar w:fldCharType="separate"/>
      </w:r>
      <w:r w:rsidR="00ED66C2">
        <w:rPr>
          <w:noProof/>
        </w:rPr>
        <w:t>17</w:t>
      </w:r>
      <w:r w:rsidR="00E27A82">
        <w:fldChar w:fldCharType="end"/>
      </w:r>
      <w:r w:rsidR="00280800">
        <w:t>:</w:t>
      </w:r>
      <w:r w:rsidRPr="00276A8D">
        <w:t xml:space="preserve"> </w:t>
      </w:r>
      <w:r w:rsidRPr="00276A8D">
        <w:rPr>
          <w:lang w:val="en-GB"/>
        </w:rPr>
        <w:t xml:space="preserve">SST diurnal cycle as depicted by satellite data vs buoy data. </w:t>
      </w:r>
      <w:r w:rsidR="00B335D7" w:rsidRPr="00B335D7">
        <w:rPr>
          <w:rFonts w:asciiTheme="minorHAnsi" w:hAnsiTheme="minorHAnsi" w:cstheme="minorHAnsi"/>
          <w:szCs w:val="20"/>
          <w:lang w:val="en-GB"/>
        </w:rPr>
        <w:t>(</w:t>
      </w:r>
      <w:r w:rsidR="005834B0">
        <w:rPr>
          <w:rFonts w:asciiTheme="minorHAnsi" w:hAnsiTheme="minorHAnsi" w:cstheme="minorHAnsi"/>
          <w:szCs w:val="20"/>
        </w:rPr>
        <w:t>Le Borgne et al</w:t>
      </w:r>
      <w:r w:rsidR="00B335D7" w:rsidRPr="00B335D7">
        <w:rPr>
          <w:rFonts w:asciiTheme="minorHAnsi" w:hAnsiTheme="minorHAnsi" w:cstheme="minorHAnsi"/>
          <w:szCs w:val="20"/>
        </w:rPr>
        <w:t xml:space="preserve">, </w:t>
      </w:r>
      <w:r w:rsidR="00B335D7" w:rsidRPr="00280800">
        <w:t>2012)</w:t>
      </w:r>
      <w:r w:rsidR="00280800" w:rsidRPr="00280800">
        <w:t>.</w:t>
      </w:r>
      <w:bookmarkEnd w:id="40"/>
    </w:p>
    <w:p w:rsidR="00D538CE" w:rsidRPr="00D538CE" w:rsidRDefault="00D538CE" w:rsidP="00D538CE">
      <w:pPr>
        <w:rPr>
          <w:lang w:val="en-GB"/>
        </w:rPr>
      </w:pPr>
      <w:r>
        <w:rPr>
          <w:lang w:val="en-GB"/>
        </w:rPr>
        <w:t>Furthermore the high temporal resolution also allows to detect and monitor</w:t>
      </w:r>
      <w:r w:rsidRPr="00996A79">
        <w:rPr>
          <w:lang w:val="en-GB"/>
        </w:rPr>
        <w:t xml:space="preserve"> cases with rapid changes of the surface conditions like in coastal upwelling events. </w:t>
      </w:r>
    </w:p>
    <w:p w:rsidR="00BC7D2F" w:rsidRDefault="00D538CE" w:rsidP="00D538CE">
      <w:pPr>
        <w:rPr>
          <w:lang w:val="en-GB"/>
        </w:rPr>
      </w:pPr>
      <w:r>
        <w:rPr>
          <w:lang w:val="en-GB"/>
        </w:rPr>
        <w:t>Accurate SST retrievals also enable the identification of strong surface gradients. These can be exploited for the identification of SST fronts, currents and eddies. The high temporal coverage with geostationary data, combined the associated increased probability for cloud free observations then give the opportunity to track sea surface structures</w:t>
      </w:r>
      <w:r w:rsidR="00B42530">
        <w:rPr>
          <w:lang w:val="en-GB"/>
        </w:rPr>
        <w:t>.</w:t>
      </w:r>
    </w:p>
    <w:p w:rsidR="00B42530" w:rsidRDefault="00B42530" w:rsidP="00D538CE"/>
    <w:p w:rsidR="00B42530" w:rsidRDefault="00B42530" w:rsidP="00B42530">
      <w:pPr>
        <w:keepNext/>
        <w:jc w:val="center"/>
      </w:pPr>
      <w:r w:rsidRPr="00B42530">
        <w:rPr>
          <w:noProof/>
          <w:lang w:val="en-US" w:eastAsia="en-US"/>
        </w:rPr>
        <w:drawing>
          <wp:inline distT="0" distB="0" distL="0" distR="0">
            <wp:extent cx="3203801" cy="1944000"/>
            <wp:effectExtent l="19050" t="0" r="0" b="0"/>
            <wp:docPr id="36" name="Picture 11" descr="MOV-14-8A_MSG_04_Rsby_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24" name="Picture 4" descr="MOV-14-8A_MSG_04_Rsby_66"/>
                    <pic:cNvPicPr>
                      <a:picLocks noChangeAspect="1" noChangeArrowheads="1" noCrop="1"/>
                    </pic:cNvPicPr>
                  </pic:nvPicPr>
                  <pic:blipFill>
                    <a:blip r:embed="rId47" cstate="print"/>
                    <a:srcRect/>
                    <a:stretch>
                      <a:fillRect/>
                    </a:stretch>
                  </pic:blipFill>
                  <pic:spPr bwMode="auto">
                    <a:xfrm>
                      <a:off x="0" y="0"/>
                      <a:ext cx="3203801" cy="1944000"/>
                    </a:xfrm>
                    <a:prstGeom prst="rect">
                      <a:avLst/>
                    </a:prstGeom>
                    <a:noFill/>
                    <a:ln w="9525">
                      <a:noFill/>
                      <a:miter lim="800000"/>
                      <a:headEnd/>
                      <a:tailEnd/>
                    </a:ln>
                    <a:effectLst/>
                  </pic:spPr>
                </pic:pic>
              </a:graphicData>
            </a:graphic>
          </wp:inline>
        </w:drawing>
      </w:r>
      <w:r w:rsidRPr="00B42530">
        <w:rPr>
          <w:noProof/>
          <w:lang w:val="en-US" w:eastAsia="en-US"/>
        </w:rPr>
        <w:drawing>
          <wp:inline distT="0" distB="0" distL="0" distR="0">
            <wp:extent cx="2826563" cy="1944000"/>
            <wp:effectExtent l="19050" t="0" r="0" b="0"/>
            <wp:docPr id="25" name="Picture 14" descr="Avg-Rossby-speed"/>
            <wp:cNvGraphicFramePr/>
            <a:graphic xmlns:a="http://schemas.openxmlformats.org/drawingml/2006/main">
              <a:graphicData uri="http://schemas.openxmlformats.org/drawingml/2006/picture">
                <pic:pic xmlns:pic="http://schemas.openxmlformats.org/drawingml/2006/picture">
                  <pic:nvPicPr>
                    <pic:cNvPr id="288772" name="Picture 4" descr="Avg-Rossby-speed"/>
                    <pic:cNvPicPr>
                      <a:picLocks noChangeAspect="1" noChangeArrowheads="1"/>
                    </pic:cNvPicPr>
                  </pic:nvPicPr>
                  <pic:blipFill>
                    <a:blip r:embed="rId48" cstate="print"/>
                    <a:srcRect/>
                    <a:stretch>
                      <a:fillRect/>
                    </a:stretch>
                  </pic:blipFill>
                  <pic:spPr bwMode="auto">
                    <a:xfrm>
                      <a:off x="0" y="0"/>
                      <a:ext cx="2826563" cy="1944000"/>
                    </a:xfrm>
                    <a:prstGeom prst="rect">
                      <a:avLst/>
                    </a:prstGeom>
                    <a:noFill/>
                  </pic:spPr>
                </pic:pic>
              </a:graphicData>
            </a:graphic>
          </wp:inline>
        </w:drawing>
      </w:r>
    </w:p>
    <w:p w:rsidR="00D20DB3" w:rsidRDefault="00B42530" w:rsidP="006F1565">
      <w:pPr>
        <w:pStyle w:val="Caption"/>
        <w:jc w:val="center"/>
      </w:pPr>
      <w:bookmarkStart w:id="41" w:name="_Toc460923875"/>
      <w:r w:rsidRPr="00EC068D">
        <w:t xml:space="preserve">Figure </w:t>
      </w:r>
      <w:fldSimple w:instr=" SEQ Figure \* ARABIC ">
        <w:r w:rsidR="00ED66C2">
          <w:rPr>
            <w:noProof/>
          </w:rPr>
          <w:t>18</w:t>
        </w:r>
      </w:fldSimple>
      <w:r w:rsidR="00280800">
        <w:t>:</w:t>
      </w:r>
      <w:r w:rsidR="00B335D7" w:rsidRPr="00B335D7">
        <w:t xml:space="preserve"> SST gradients (left) and associated eddy trajectories (right</w:t>
      </w:r>
      <w:r w:rsidR="00B335D7" w:rsidRPr="00B335D7">
        <w:rPr>
          <w:szCs w:val="20"/>
        </w:rPr>
        <w:t xml:space="preserve">). </w:t>
      </w:r>
      <w:r w:rsidR="005834B0" w:rsidRPr="00EC068D">
        <w:rPr>
          <w:szCs w:val="20"/>
        </w:rPr>
        <w:t>(Legeckis and</w:t>
      </w:r>
      <w:r w:rsidR="00276A8D" w:rsidRPr="00EC068D">
        <w:rPr>
          <w:szCs w:val="20"/>
        </w:rPr>
        <w:t xml:space="preserve"> Le Borgne, 2009</w:t>
      </w:r>
      <w:r w:rsidR="005834B0" w:rsidRPr="00EC068D">
        <w:rPr>
          <w:szCs w:val="20"/>
        </w:rPr>
        <w:t>)</w:t>
      </w:r>
      <w:r w:rsidR="00577FE4" w:rsidRPr="00EC068D">
        <w:rPr>
          <w:szCs w:val="20"/>
        </w:rPr>
        <w:t>.</w:t>
      </w:r>
      <w:bookmarkEnd w:id="41"/>
    </w:p>
    <w:p w:rsidR="00D538CE" w:rsidRDefault="00B42530" w:rsidP="00747E63">
      <w:pPr>
        <w:rPr>
          <w:rFonts w:eastAsia="Times New Roman"/>
        </w:rPr>
      </w:pPr>
      <w:r w:rsidRPr="00996A79">
        <w:rPr>
          <w:lang w:val="en-GB"/>
        </w:rPr>
        <w:t xml:space="preserve">The applications of SST go however beyond those of </w:t>
      </w:r>
      <w:r w:rsidRPr="00496D26">
        <w:rPr>
          <w:b/>
          <w:lang w:val="en-GB"/>
        </w:rPr>
        <w:t>SBA/Climate</w:t>
      </w:r>
      <w:r w:rsidRPr="00996A79">
        <w:rPr>
          <w:lang w:val="en-GB"/>
        </w:rPr>
        <w:t xml:space="preserve"> and </w:t>
      </w:r>
      <w:r w:rsidRPr="00496D26">
        <w:rPr>
          <w:b/>
          <w:lang w:val="en-GB"/>
        </w:rPr>
        <w:t>SBA/Weather</w:t>
      </w:r>
      <w:r w:rsidRPr="00996A79">
        <w:rPr>
          <w:lang w:val="en-GB"/>
        </w:rPr>
        <w:t xml:space="preserve"> and include </w:t>
      </w:r>
      <w:r w:rsidRPr="00496D26">
        <w:rPr>
          <w:b/>
          <w:lang w:val="en-GB"/>
        </w:rPr>
        <w:t>SBA/Ecosystem</w:t>
      </w:r>
      <w:r>
        <w:rPr>
          <w:lang w:val="en-GB"/>
        </w:rPr>
        <w:t xml:space="preserve"> assessment, </w:t>
      </w:r>
      <w:r w:rsidRPr="00496D26">
        <w:rPr>
          <w:b/>
          <w:lang w:val="en-GB"/>
        </w:rPr>
        <w:t>SBA/Water</w:t>
      </w:r>
      <w:r>
        <w:rPr>
          <w:lang w:val="en-GB"/>
        </w:rPr>
        <w:t xml:space="preserve"> (e.g. marine biology, </w:t>
      </w:r>
      <w:r w:rsidRPr="00996A79">
        <w:rPr>
          <w:lang w:val="en-GB"/>
        </w:rPr>
        <w:t>fishery</w:t>
      </w:r>
      <w:r>
        <w:rPr>
          <w:lang w:val="en-GB"/>
        </w:rPr>
        <w:t>)</w:t>
      </w:r>
      <w:r w:rsidRPr="00996A79">
        <w:rPr>
          <w:lang w:val="en-GB"/>
        </w:rPr>
        <w:t xml:space="preserve"> and tourism. </w:t>
      </w:r>
      <w:r w:rsidRPr="00996A79">
        <w:rPr>
          <w:rFonts w:eastAsia="Times New Roman"/>
        </w:rPr>
        <w:t>The improved description of the coastal SST is also important for coastal resource management.</w:t>
      </w:r>
    </w:p>
    <w:p w:rsidR="00EC068D" w:rsidRDefault="00EC068D" w:rsidP="006F1565">
      <w:pPr>
        <w:spacing w:after="240"/>
        <w:rPr>
          <w:rFonts w:eastAsia="Times New Roman"/>
        </w:rPr>
      </w:pPr>
      <w:r w:rsidRPr="005D21F6">
        <w:t xml:space="preserve">Derived from the best available scientific information, the </w:t>
      </w:r>
      <w:r w:rsidRPr="005D21F6">
        <w:rPr>
          <w:i/>
          <w:iCs/>
        </w:rPr>
        <w:t>TurtleWatch</w:t>
      </w:r>
      <w:r w:rsidRPr="005D21F6">
        <w:t xml:space="preserve"> map displays sea surface temperature and ocean current conditions and the predicted location of waters preferred by the turtles. The mapped temperature values represent averages of SST information for the most recently available 3-day period. </w:t>
      </w:r>
      <w:r>
        <w:t xml:space="preserve">The maps indicate variations </w:t>
      </w:r>
      <w:r w:rsidRPr="005D21F6">
        <w:t xml:space="preserve">in ocean temperature </w:t>
      </w:r>
      <w:r>
        <w:t xml:space="preserve">as well as </w:t>
      </w:r>
      <w:r w:rsidRPr="005D21F6">
        <w:t xml:space="preserve">the direction and strength of the average ocean currents over the most recent week of available data. The </w:t>
      </w:r>
      <w:r>
        <w:t>maps highlights the areas with temperatures between 63</w:t>
      </w:r>
      <w:r w:rsidRPr="005D21F6">
        <w:t>.5°F and 65.5°F</w:t>
      </w:r>
      <w:r>
        <w:t xml:space="preserve"> that represent </w:t>
      </w:r>
      <w:r w:rsidRPr="005D21F6">
        <w:t>the region where more than 50% of loggerhead turtle interactions have occurred during the first quarter of the year</w:t>
      </w:r>
      <w:r>
        <w:t xml:space="preserve"> and should hence be avoided for fishing</w:t>
      </w:r>
      <w:r w:rsidRPr="005D21F6">
        <w:t xml:space="preserve">. </w:t>
      </w:r>
      <w:r>
        <w:t>(</w:t>
      </w:r>
      <w:r w:rsidRPr="005D21F6">
        <w:t>https://pifsc-www.irc.noaa.gov/eod/turtlewatch.php</w:t>
      </w:r>
      <w:r>
        <w:t>).</w:t>
      </w:r>
    </w:p>
    <w:p w:rsidR="00C028CE" w:rsidRDefault="006D7041" w:rsidP="00C028CE">
      <w:pPr>
        <w:keepNext/>
        <w:jc w:val="center"/>
      </w:pPr>
      <w:r w:rsidRPr="006D7041">
        <w:rPr>
          <w:rFonts w:eastAsia="Times New Roman"/>
          <w:noProof/>
          <w:lang w:val="en-US" w:eastAsia="en-US"/>
        </w:rPr>
        <w:drawing>
          <wp:inline distT="0" distB="0" distL="0" distR="0">
            <wp:extent cx="6007971" cy="2896819"/>
            <wp:effectExtent l="19050" t="0" r="0" b="0"/>
            <wp:docPr id="52" name="Picture 36" descr="tur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tle.jpg"/>
                    <pic:cNvPicPr/>
                  </pic:nvPicPr>
                  <pic:blipFill>
                    <a:blip r:embed="rId49" cstate="print"/>
                    <a:stretch>
                      <a:fillRect/>
                    </a:stretch>
                  </pic:blipFill>
                  <pic:spPr>
                    <a:xfrm>
                      <a:off x="0" y="0"/>
                      <a:ext cx="6006944" cy="2896324"/>
                    </a:xfrm>
                    <a:prstGeom prst="rect">
                      <a:avLst/>
                    </a:prstGeom>
                  </pic:spPr>
                </pic:pic>
              </a:graphicData>
            </a:graphic>
          </wp:inline>
        </w:drawing>
      </w:r>
    </w:p>
    <w:p w:rsidR="00C028CE" w:rsidRPr="00C028CE" w:rsidRDefault="00C028CE" w:rsidP="003B3948">
      <w:pPr>
        <w:pStyle w:val="Caption"/>
        <w:jc w:val="center"/>
      </w:pPr>
      <w:bookmarkStart w:id="42" w:name="_Toc460923876"/>
      <w:r>
        <w:t xml:space="preserve">Figure </w:t>
      </w:r>
      <w:r w:rsidR="00E27A82">
        <w:fldChar w:fldCharType="begin"/>
      </w:r>
      <w:r w:rsidR="002D15AB">
        <w:instrText xml:space="preserve"> SEQ Figure \* ARABIC </w:instrText>
      </w:r>
      <w:r w:rsidR="00E27A82">
        <w:fldChar w:fldCharType="separate"/>
      </w:r>
      <w:r w:rsidR="00ED66C2">
        <w:rPr>
          <w:noProof/>
        </w:rPr>
        <w:t>19</w:t>
      </w:r>
      <w:r w:rsidR="00E27A82">
        <w:fldChar w:fldCharType="end"/>
      </w:r>
      <w:r w:rsidR="00280800">
        <w:t xml:space="preserve">: </w:t>
      </w:r>
      <w:r w:rsidR="00707967">
        <w:t xml:space="preserve">The </w:t>
      </w:r>
      <w:r w:rsidR="00EC068D">
        <w:t>Turtl</w:t>
      </w:r>
      <w:r w:rsidR="00707967">
        <w:t>e</w:t>
      </w:r>
      <w:r w:rsidR="00EC068D">
        <w:t>Watch map for 19-21 February 2011.</w:t>
      </w:r>
      <w:r w:rsidRPr="005D21F6">
        <w:t xml:space="preserve"> The small grey arrows show the direction and strength of the average ocean currents over the most recent week of available data. The solid black lines</w:t>
      </w:r>
      <w:r w:rsidR="00EC068D">
        <w:t xml:space="preserve"> and the red-brown area in between</w:t>
      </w:r>
      <w:r w:rsidRPr="005D21F6">
        <w:t xml:space="preserve"> mark the 63.5°F </w:t>
      </w:r>
      <w:r w:rsidR="00707967">
        <w:t>to</w:t>
      </w:r>
      <w:r w:rsidR="00707967" w:rsidRPr="005D21F6">
        <w:t xml:space="preserve"> </w:t>
      </w:r>
      <w:r w:rsidRPr="005D21F6">
        <w:t xml:space="preserve">65.5°F temperature </w:t>
      </w:r>
      <w:r w:rsidR="00707967">
        <w:t>area and that should be avoided for fishing.</w:t>
      </w:r>
      <w:bookmarkEnd w:id="42"/>
      <w:r w:rsidR="00707967">
        <w:t xml:space="preserve"> </w:t>
      </w:r>
    </w:p>
    <w:p w:rsidR="00B42530" w:rsidRPr="00B42530" w:rsidRDefault="00B42530" w:rsidP="00B42530">
      <w:pPr>
        <w:pStyle w:val="Heading3"/>
      </w:pPr>
      <w:r w:rsidRPr="00996A79">
        <w:t>Ice</w:t>
      </w:r>
    </w:p>
    <w:p w:rsidR="006D7041" w:rsidRPr="006D7041" w:rsidRDefault="006D7041" w:rsidP="006D7041">
      <w:pPr>
        <w:rPr>
          <w:lang w:val="en-GB"/>
        </w:rPr>
      </w:pPr>
      <w:r w:rsidRPr="00996A79">
        <w:rPr>
          <w:lang w:val="en-GB"/>
        </w:rPr>
        <w:t>Ice reflectance depends strongly on its internal structure, such as brine pockets or air bubbles of the near surface layers. These internal structures change with season, state of the near surface layers, and age of the ice, which results in different ice types. Ice surface reflectance is different from snow surface reflectance. Ice consists mainly of sheets, while snow consists of grains. Snow reflectance shows very high values at visible channels, but low values at short-wavelength ch</w:t>
      </w:r>
      <w:r>
        <w:rPr>
          <w:lang w:val="en-GB"/>
        </w:rPr>
        <w:t xml:space="preserve">annels longer than 1.4 microns </w:t>
      </w:r>
      <w:r w:rsidRPr="00996A79">
        <w:rPr>
          <w:lang w:val="en-GB"/>
        </w:rPr>
        <w:t xml:space="preserve">due to the much stronger absorption and much less back scattering at those infrared channels. This feature is shared by snow-covered ice and many ice types. Most of the ice surfaces show higher reflectance at visible and near infrared channels than water surfaces, which can be used to detect ice cover. However, some ice types, such as clear lake ice and grease ice, can be difficult to detect due to their very low contrast with open water. </w:t>
      </w:r>
    </w:p>
    <w:p w:rsidR="006D7041" w:rsidRDefault="006D7041" w:rsidP="006D7041">
      <w:pPr>
        <w:rPr>
          <w:color w:val="231F20"/>
          <w:lang w:val="en-GB"/>
        </w:rPr>
      </w:pPr>
      <w:r w:rsidRPr="00996A79">
        <w:rPr>
          <w:lang w:val="en-GB"/>
        </w:rPr>
        <w:t>Cryosphere has has an important socioeconomic impact due to its role in water resources and its impact on transportation, fisheries, hunting, herding, and agriculture.</w:t>
      </w:r>
      <w:r>
        <w:rPr>
          <w:lang w:val="en-GB"/>
        </w:rPr>
        <w:t xml:space="preserve"> Accurate ice observations from geostationary satellites therefore contribute to </w:t>
      </w:r>
      <w:r w:rsidRPr="001E65C8">
        <w:rPr>
          <w:b/>
          <w:lang w:val="en-GB"/>
        </w:rPr>
        <w:t>SBA/Water</w:t>
      </w:r>
      <w:r>
        <w:rPr>
          <w:lang w:val="en-GB"/>
        </w:rPr>
        <w:t xml:space="preserve"> and </w:t>
      </w:r>
      <w:r w:rsidRPr="001E65C8">
        <w:rPr>
          <w:b/>
          <w:lang w:val="en-GB"/>
        </w:rPr>
        <w:t>SBA/Ecosystems</w:t>
      </w:r>
      <w:r>
        <w:rPr>
          <w:lang w:val="en-GB"/>
        </w:rPr>
        <w:t>. Cryosphere</w:t>
      </w:r>
      <w:r w:rsidRPr="00996A79">
        <w:rPr>
          <w:lang w:val="en-GB"/>
        </w:rPr>
        <w:t xml:space="preserve"> also plays a significant role in </w:t>
      </w:r>
      <w:r w:rsidRPr="001E65C8">
        <w:rPr>
          <w:b/>
          <w:lang w:val="en-GB"/>
        </w:rPr>
        <w:t>SBA/Climate</w:t>
      </w:r>
      <w:r w:rsidRPr="00996A79">
        <w:rPr>
          <w:lang w:val="en-GB"/>
        </w:rPr>
        <w:t xml:space="preserve"> </w:t>
      </w:r>
      <w:r>
        <w:rPr>
          <w:lang w:val="en-GB"/>
        </w:rPr>
        <w:t xml:space="preserve">for climate </w:t>
      </w:r>
      <w:r w:rsidRPr="00996A79">
        <w:rPr>
          <w:lang w:val="en-GB"/>
        </w:rPr>
        <w:t xml:space="preserve">studies, and understanding the cryosphere is critical for </w:t>
      </w:r>
      <w:r w:rsidRPr="001E65C8">
        <w:rPr>
          <w:b/>
          <w:lang w:val="en-GB"/>
        </w:rPr>
        <w:t>SBA/Weather</w:t>
      </w:r>
      <w:r>
        <w:rPr>
          <w:lang w:val="en-GB"/>
        </w:rPr>
        <w:t xml:space="preserve"> for </w:t>
      </w:r>
      <w:r w:rsidRPr="00996A79">
        <w:rPr>
          <w:lang w:val="en-GB"/>
        </w:rPr>
        <w:t xml:space="preserve">accurate weather forecasts. </w:t>
      </w:r>
      <w:r w:rsidRPr="00F30DCD">
        <w:rPr>
          <w:lang w:val="en-GB"/>
        </w:rPr>
        <w:t xml:space="preserve">Among the properties of the cryosphere, ice cover and ice concentrations are the most important. Whilst traditionally ice has been monitored </w:t>
      </w:r>
      <w:r w:rsidRPr="00F30DCD">
        <w:rPr>
          <w:color w:val="231F20"/>
          <w:lang w:val="en-GB"/>
        </w:rPr>
        <w:t xml:space="preserve">using microwave sensors and </w:t>
      </w:r>
      <w:r>
        <w:rPr>
          <w:color w:val="231F20"/>
          <w:lang w:val="en-GB"/>
        </w:rPr>
        <w:t xml:space="preserve">visible/infrared </w:t>
      </w:r>
      <w:r w:rsidRPr="00F30DCD">
        <w:rPr>
          <w:color w:val="231F20"/>
          <w:lang w:val="en-GB"/>
        </w:rPr>
        <w:t>imagers on</w:t>
      </w:r>
      <w:r>
        <w:rPr>
          <w:color w:val="231F20"/>
          <w:lang w:val="en-GB"/>
        </w:rPr>
        <w:t xml:space="preserve"> low Earth orbit satellites, the frequent </w:t>
      </w:r>
      <w:r w:rsidRPr="00F30DCD">
        <w:rPr>
          <w:color w:val="231F20"/>
          <w:lang w:val="en-GB"/>
        </w:rPr>
        <w:t>(15–30 minutes) observations from geostationary satellites give better chances to observe</w:t>
      </w:r>
      <w:r>
        <w:rPr>
          <w:color w:val="231F20"/>
          <w:lang w:val="en-GB"/>
        </w:rPr>
        <w:t xml:space="preserve"> </w:t>
      </w:r>
      <w:r w:rsidRPr="00F30DCD">
        <w:rPr>
          <w:color w:val="231F20"/>
          <w:lang w:val="en-GB"/>
        </w:rPr>
        <w:t>cloud-clear scenes during</w:t>
      </w:r>
      <w:r>
        <w:rPr>
          <w:color w:val="231F20"/>
          <w:lang w:val="en-GB"/>
        </w:rPr>
        <w:t>.</w:t>
      </w:r>
      <w:r w:rsidRPr="00F30DCD">
        <w:rPr>
          <w:color w:val="231F20"/>
          <w:lang w:val="en-GB"/>
        </w:rPr>
        <w:t xml:space="preserve"> </w:t>
      </w:r>
      <w:r>
        <w:rPr>
          <w:color w:val="231F20"/>
          <w:lang w:val="en-GB"/>
        </w:rPr>
        <w:t xml:space="preserve">These high frequency images can be used for </w:t>
      </w:r>
      <w:r w:rsidRPr="00F30DCD">
        <w:rPr>
          <w:color w:val="231F20"/>
          <w:lang w:val="en-GB"/>
        </w:rPr>
        <w:t>better tracking of ice motion</w:t>
      </w:r>
      <w:r>
        <w:rPr>
          <w:color w:val="231F20"/>
          <w:lang w:val="en-GB"/>
        </w:rPr>
        <w:t xml:space="preserve"> particularly at lower latitudes where the image resolution is still reasonable. </w:t>
      </w:r>
    </w:p>
    <w:p w:rsidR="006D7041" w:rsidRDefault="006D7041" w:rsidP="006D7041">
      <w:pPr>
        <w:keepNext/>
        <w:jc w:val="center"/>
      </w:pPr>
      <w:r w:rsidRPr="006D7041">
        <w:rPr>
          <w:noProof/>
          <w:color w:val="231F20"/>
          <w:lang w:val="en-US" w:eastAsia="en-US"/>
        </w:rPr>
        <w:drawing>
          <wp:inline distT="0" distB="0" distL="0" distR="0">
            <wp:extent cx="5731510" cy="2626011"/>
            <wp:effectExtent l="19050" t="0" r="2540"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5731510" cy="2626011"/>
                    </a:xfrm>
                    <a:prstGeom prst="rect">
                      <a:avLst/>
                    </a:prstGeom>
                    <a:noFill/>
                    <a:ln w="9525">
                      <a:noFill/>
                      <a:miter lim="800000"/>
                      <a:headEnd/>
                      <a:tailEnd/>
                    </a:ln>
                  </pic:spPr>
                </pic:pic>
              </a:graphicData>
            </a:graphic>
          </wp:inline>
        </w:drawing>
      </w:r>
    </w:p>
    <w:p w:rsidR="006D7041" w:rsidRPr="00F30DCD" w:rsidRDefault="006D7041" w:rsidP="00280800">
      <w:pPr>
        <w:pStyle w:val="Caption"/>
        <w:jc w:val="center"/>
        <w:rPr>
          <w:lang w:val="en-GB"/>
        </w:rPr>
      </w:pPr>
      <w:bookmarkStart w:id="43" w:name="_Toc460923877"/>
      <w:r>
        <w:t xml:space="preserve">Figure </w:t>
      </w:r>
      <w:r w:rsidR="00E27A82">
        <w:fldChar w:fldCharType="begin"/>
      </w:r>
      <w:r w:rsidR="002D15AB">
        <w:instrText xml:space="preserve"> SEQ Figure \* ARABIC </w:instrText>
      </w:r>
      <w:r w:rsidR="00E27A82">
        <w:fldChar w:fldCharType="separate"/>
      </w:r>
      <w:r w:rsidR="00ED66C2">
        <w:rPr>
          <w:noProof/>
        </w:rPr>
        <w:t>20</w:t>
      </w:r>
      <w:r w:rsidR="00E27A82">
        <w:fldChar w:fldCharType="end"/>
      </w:r>
      <w:r w:rsidR="00280800">
        <w:t>:</w:t>
      </w:r>
      <w:r>
        <w:t xml:space="preserve"> </w:t>
      </w:r>
      <w:r w:rsidRPr="00F30DCD">
        <w:rPr>
          <w:lang w:val="en-GB"/>
        </w:rPr>
        <w:t>(a) SEVIRI-based sea-ice map over the northern part of the Caspian Sea on 28 February 2007 at 11 h 15m</w:t>
      </w:r>
      <w:r>
        <w:rPr>
          <w:lang w:val="en-GB"/>
        </w:rPr>
        <w:t xml:space="preserve"> </w:t>
      </w:r>
      <w:r w:rsidRPr="00F30DCD">
        <w:rPr>
          <w:lang w:val="en-GB"/>
        </w:rPr>
        <w:t>AM</w:t>
      </w:r>
      <w:r>
        <w:rPr>
          <w:lang w:val="en-GB"/>
        </w:rPr>
        <w:t xml:space="preserve"> </w:t>
      </w:r>
      <w:r w:rsidRPr="00F30DCD">
        <w:rPr>
          <w:lang w:val="en-GB"/>
        </w:rPr>
        <w:t>UTC and (b) the</w:t>
      </w:r>
      <w:r>
        <w:rPr>
          <w:lang w:val="en-GB"/>
        </w:rPr>
        <w:t xml:space="preserve"> </w:t>
      </w:r>
      <w:r w:rsidRPr="00F30DCD">
        <w:rPr>
          <w:lang w:val="en-GB"/>
        </w:rPr>
        <w:t>MODIS true-colour image for the same day</w:t>
      </w:r>
      <w:r>
        <w:rPr>
          <w:lang w:val="en-GB"/>
        </w:rPr>
        <w:t>.</w:t>
      </w:r>
      <w:r w:rsidRPr="00F30DCD">
        <w:rPr>
          <w:lang w:val="en-GB"/>
        </w:rPr>
        <w:t xml:space="preserve"> </w:t>
      </w:r>
      <w:r w:rsidR="005834B0">
        <w:rPr>
          <w:lang w:val="en-GB"/>
        </w:rPr>
        <w:t>(</w:t>
      </w:r>
      <w:r w:rsidRPr="00574C96">
        <w:rPr>
          <w:lang w:val="en-GB"/>
        </w:rPr>
        <w:t xml:space="preserve">Temimi </w:t>
      </w:r>
      <w:r w:rsidR="005834B0">
        <w:rPr>
          <w:lang w:val="en-GB"/>
        </w:rPr>
        <w:t>et a</w:t>
      </w:r>
      <w:r w:rsidR="00092EE6">
        <w:rPr>
          <w:lang w:val="en-GB"/>
        </w:rPr>
        <w:t>l</w:t>
      </w:r>
      <w:r>
        <w:rPr>
          <w:lang w:val="en-GB"/>
        </w:rPr>
        <w:t>., 2011</w:t>
      </w:r>
      <w:r w:rsidR="005834B0">
        <w:rPr>
          <w:lang w:val="en-GB"/>
        </w:rPr>
        <w:t>)</w:t>
      </w:r>
      <w:r w:rsidR="00280800">
        <w:rPr>
          <w:lang w:val="en-GB"/>
        </w:rPr>
        <w:t>.</w:t>
      </w:r>
      <w:bookmarkEnd w:id="43"/>
    </w:p>
    <w:p w:rsidR="00B42530" w:rsidRPr="00B42530" w:rsidRDefault="00B42530" w:rsidP="003B3948">
      <w:pPr>
        <w:pStyle w:val="Heading3"/>
        <w:rPr>
          <w:lang w:val="en-GB"/>
        </w:rPr>
      </w:pPr>
      <w:r w:rsidRPr="00996A79">
        <w:rPr>
          <w:lang w:val="en-GB"/>
        </w:rPr>
        <w:t>Ocean colour</w:t>
      </w:r>
    </w:p>
    <w:p w:rsidR="00B42530" w:rsidRPr="00996A79" w:rsidRDefault="00B42530" w:rsidP="00B42530">
      <w:r w:rsidRPr="00996A79">
        <w:t>Ocean colour applications from polar-orbiting satellites are now mature and have provided the justification sustained operational observations of various ocean colour parameters. For instance near real time alerting for harmful algae blooms and the assessment of sediment transport in coastal waters, particularly as related to human activities (dredging, offshore construction, etc.), and marine carbon cycle modelling are critical. Polar orbiting satellites however suffer from a lack of information during cloudy periods and from inadequate resolution of quickly-varying processes, e.g. related to the diurnal cycles that drive photosynthesis, or the tidal cycle, which affects sediment transport. Ocean colour remote sensors on geostationary platforms would therefore</w:t>
      </w:r>
      <w:r w:rsidR="00D4272F">
        <w:t xml:space="preserve"> </w:t>
      </w:r>
      <w:r w:rsidRPr="00996A79">
        <w:t>significantly improve in temporal sampling giving some specific advantages like:</w:t>
      </w:r>
    </w:p>
    <w:p w:rsidR="00B42530" w:rsidRPr="00B42530" w:rsidRDefault="00B42530" w:rsidP="00B42530">
      <w:pPr>
        <w:pStyle w:val="ListParagraph"/>
        <w:numPr>
          <w:ilvl w:val="0"/>
          <w:numId w:val="21"/>
        </w:numPr>
        <w:rPr>
          <w:rFonts w:asciiTheme="minorHAnsi" w:hAnsiTheme="minorHAnsi"/>
          <w:sz w:val="22"/>
          <w:szCs w:val="22"/>
        </w:rPr>
      </w:pPr>
      <w:r w:rsidRPr="00B42530">
        <w:rPr>
          <w:rFonts w:asciiTheme="minorHAnsi" w:hAnsiTheme="minorHAnsi"/>
          <w:sz w:val="22"/>
          <w:szCs w:val="22"/>
        </w:rPr>
        <w:t>A dramatic improvement in the number of days/year in which cloud-free data can be acquired</w:t>
      </w:r>
    </w:p>
    <w:p w:rsidR="00B42530" w:rsidRPr="00F153A8" w:rsidRDefault="00B42530" w:rsidP="00F153A8">
      <w:pPr>
        <w:pStyle w:val="ListParagraph"/>
        <w:numPr>
          <w:ilvl w:val="0"/>
          <w:numId w:val="21"/>
        </w:numPr>
        <w:spacing w:after="240"/>
        <w:contextualSpacing w:val="0"/>
        <w:rPr>
          <w:rFonts w:asciiTheme="minorHAnsi" w:hAnsiTheme="minorHAnsi"/>
          <w:sz w:val="22"/>
          <w:szCs w:val="22"/>
        </w:rPr>
      </w:pPr>
      <w:r w:rsidRPr="00B42530">
        <w:rPr>
          <w:rFonts w:asciiTheme="minorHAnsi" w:hAnsiTheme="minorHAnsi"/>
          <w:sz w:val="22"/>
          <w:szCs w:val="22"/>
        </w:rPr>
        <w:t xml:space="preserve">The possibility to resolve high frequency processes during cloud-free periods, thus bringing entirely new marine processes into the realm of ocean colour remote sensing. </w:t>
      </w:r>
    </w:p>
    <w:p w:rsidR="00B42530" w:rsidRDefault="00B42530" w:rsidP="00B42530">
      <w:pPr>
        <w:rPr>
          <w:lang w:val="en-GB" w:eastAsia="en-GB"/>
        </w:rPr>
      </w:pPr>
      <w:r w:rsidRPr="00996A79">
        <w:rPr>
          <w:lang w:val="en-GB" w:eastAsia="en-GB"/>
        </w:rPr>
        <w:t>Geostationary ocean colour sensors are hence under consideration by a number</w:t>
      </w:r>
      <w:r w:rsidR="008A4DB0">
        <w:rPr>
          <w:lang w:val="en-GB" w:eastAsia="en-GB"/>
        </w:rPr>
        <w:t xml:space="preserve"> </w:t>
      </w:r>
      <w:r w:rsidRPr="00996A79">
        <w:rPr>
          <w:lang w:val="en-GB" w:eastAsia="en-GB"/>
        </w:rPr>
        <w:t>of space agencies and indeed, Korea has launched its first geostationary ocean colour mission GOCI (</w:t>
      </w:r>
      <w:r w:rsidRPr="00996A79">
        <w:t>Geostationary Ocean Color Imager).</w:t>
      </w:r>
      <w:r w:rsidRPr="00996A79">
        <w:rPr>
          <w:lang w:val="en-GB" w:eastAsia="en-GB"/>
        </w:rPr>
        <w:t xml:space="preserve"> Whilst dedicated ocean colour missions </w:t>
      </w:r>
      <w:r w:rsidR="00F153A8">
        <w:rPr>
          <w:lang w:val="en-GB" w:eastAsia="en-GB"/>
        </w:rPr>
        <w:t xml:space="preserve">due to their higher radiometric performance </w:t>
      </w:r>
      <w:r w:rsidRPr="00996A79">
        <w:rPr>
          <w:lang w:val="en-GB" w:eastAsia="en-GB"/>
        </w:rPr>
        <w:t>have a significantly better capability for ocean colour appli</w:t>
      </w:r>
      <w:r w:rsidR="00F153A8">
        <w:rPr>
          <w:lang w:val="en-GB" w:eastAsia="en-GB"/>
        </w:rPr>
        <w:t>cations than</w:t>
      </w:r>
      <w:r w:rsidRPr="00996A79">
        <w:rPr>
          <w:lang w:val="en-GB" w:eastAsia="en-GB"/>
        </w:rPr>
        <w:t xml:space="preserve"> geostationary meteorological imagers</w:t>
      </w:r>
      <w:r w:rsidR="00F153A8">
        <w:rPr>
          <w:lang w:val="en-GB" w:eastAsia="en-GB"/>
        </w:rPr>
        <w:t xml:space="preserve"> (IOCCG, 2012)</w:t>
      </w:r>
      <w:r w:rsidRPr="00996A79">
        <w:rPr>
          <w:lang w:val="en-GB" w:eastAsia="en-GB"/>
        </w:rPr>
        <w:t xml:space="preserve">, there is still significant potential for the meteorological missions to augment the data from dedicated missions due to better spatial coverage (full disk). </w:t>
      </w:r>
    </w:p>
    <w:p w:rsidR="00177A91" w:rsidRPr="00B42530" w:rsidRDefault="00177A91" w:rsidP="00B42530">
      <w:r>
        <w:rPr>
          <w:lang w:val="en-GB" w:eastAsia="en-GB"/>
        </w:rPr>
        <w:t xml:space="preserve">The radiometric performance (e.g. low signal to noise ratio) of the new GEO imagers may limit the application of Ocean Colour in highly absorbing CDOM-dominated and open ocean waters due to the low </w:t>
      </w:r>
      <w:r w:rsidR="00F153A8">
        <w:rPr>
          <w:lang w:val="en-GB" w:eastAsia="en-GB"/>
        </w:rPr>
        <w:t xml:space="preserve">reflected </w:t>
      </w:r>
      <w:r>
        <w:rPr>
          <w:lang w:val="en-GB" w:eastAsia="en-GB"/>
        </w:rPr>
        <w:t>marine s</w:t>
      </w:r>
      <w:r w:rsidR="00F153A8">
        <w:rPr>
          <w:lang w:val="en-GB" w:eastAsia="en-GB"/>
        </w:rPr>
        <w:t>ignal in certain spectral bands, however they offer great potential for monitoring applications in highly-scattering turbid coastal waters.</w:t>
      </w:r>
    </w:p>
    <w:p w:rsidR="00B42530" w:rsidRPr="00B42530" w:rsidRDefault="00B42530" w:rsidP="00B42530">
      <w:pPr>
        <w:rPr>
          <w:rFonts w:eastAsia="Times New Roman"/>
          <w:lang w:val="en-GB" w:eastAsia="en-GB"/>
        </w:rPr>
      </w:pPr>
      <w:r w:rsidRPr="00996A79">
        <w:t xml:space="preserve">Ocean colour applications are </w:t>
      </w:r>
      <w:r w:rsidR="00F153A8">
        <w:t xml:space="preserve">also </w:t>
      </w:r>
      <w:r w:rsidRPr="00996A79">
        <w:t>highly demanding in terms of calibration, requiring a visible calibration of 1% and better. This is difficult to achieve from geostation</w:t>
      </w:r>
      <w:r>
        <w:t>ary orbit. Hence</w:t>
      </w:r>
      <w:r w:rsidRPr="00996A79">
        <w:t xml:space="preserve"> geostationary meteorological imagers with limited visible calibration capabilities and only small number of visible spectral bands </w:t>
      </w:r>
      <w:r>
        <w:t xml:space="preserve">provide only </w:t>
      </w:r>
      <w:r w:rsidRPr="00996A79">
        <w:t>limited</w:t>
      </w:r>
      <w:r>
        <w:t xml:space="preserve"> potential</w:t>
      </w:r>
      <w:r w:rsidRPr="00996A79">
        <w:t xml:space="preserve">. However, there are some parameters that can be </w:t>
      </w:r>
      <w:r>
        <w:t xml:space="preserve">derived with </w:t>
      </w:r>
      <w:r w:rsidRPr="00996A79">
        <w:t xml:space="preserve">meteorological geostationary imagers and the calibration issues can be alleviated using new calibration techniques, like lunar calibration as provided by GSICS, (see section 5). </w:t>
      </w:r>
    </w:p>
    <w:p w:rsidR="00B42530" w:rsidRPr="00996A79" w:rsidRDefault="00B42530" w:rsidP="00B42530">
      <w:r w:rsidRPr="00996A79">
        <w:t>Indeed it has been shown that already today MSG/SEVIRI can be used to estimate Total Suspended Matter (TSM) concentration</w:t>
      </w:r>
      <w:r w:rsidR="008A4DB0">
        <w:t xml:space="preserve"> </w:t>
      </w:r>
      <w:r>
        <w:t>and turbidity</w:t>
      </w:r>
      <w:r w:rsidRPr="00996A79">
        <w:t xml:space="preserve"> .</w:t>
      </w:r>
      <w:r w:rsidR="008A4DB0">
        <w:t xml:space="preserve"> </w:t>
      </w:r>
      <w:r w:rsidRPr="00996A79">
        <w:t>In addition coccolithophores, a species of marine phytoplankton, can be detected by MS</w:t>
      </w:r>
      <w:r>
        <w:t xml:space="preserve">G/SEVIRI. </w:t>
      </w:r>
      <w:r w:rsidRPr="00996A79">
        <w:t xml:space="preserve">These capabilities can be further improved with sensors like ABI/AHI/AKI, FCI and </w:t>
      </w:r>
      <w:r w:rsidR="00D2086C">
        <w:t>A</w:t>
      </w:r>
      <w:r w:rsidRPr="00996A79">
        <w:t>GRI.</w:t>
      </w:r>
    </w:p>
    <w:p w:rsidR="00B42530" w:rsidRPr="00996A79" w:rsidRDefault="00B42530" w:rsidP="006F1565">
      <w:pPr>
        <w:spacing w:after="240"/>
        <w:rPr>
          <w:lang w:val="en-GB" w:eastAsia="en-GB"/>
        </w:rPr>
      </w:pPr>
      <w:r w:rsidRPr="00996A79">
        <w:rPr>
          <w:lang w:val="en-GB" w:eastAsia="en-GB"/>
        </w:rPr>
        <w:t>Furthermore, until a full geostationary ocean colour constellation is deployed, the geostationary meteorological missions will provide the full geo-ring capability with better temporal coverage than available from polar orbiting satellites.</w:t>
      </w:r>
    </w:p>
    <w:p w:rsidR="00B42530" w:rsidRDefault="00B42530" w:rsidP="00B42530">
      <w:pPr>
        <w:keepNext/>
        <w:jc w:val="center"/>
      </w:pPr>
      <w:r w:rsidRPr="00B42530">
        <w:rPr>
          <w:noProof/>
          <w:lang w:val="en-US" w:eastAsia="en-US"/>
        </w:rPr>
        <w:drawing>
          <wp:inline distT="0" distB="0" distL="0" distR="0">
            <wp:extent cx="2886656" cy="1887216"/>
            <wp:effectExtent l="19050" t="0" r="8944"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srcRect/>
                    <a:stretch>
                      <a:fillRect/>
                    </a:stretch>
                  </pic:blipFill>
                  <pic:spPr bwMode="auto">
                    <a:xfrm>
                      <a:off x="0" y="0"/>
                      <a:ext cx="2885528" cy="1886478"/>
                    </a:xfrm>
                    <a:prstGeom prst="rect">
                      <a:avLst/>
                    </a:prstGeom>
                    <a:noFill/>
                    <a:ln w="9525">
                      <a:noFill/>
                      <a:miter lim="800000"/>
                      <a:headEnd/>
                      <a:tailEnd/>
                    </a:ln>
                  </pic:spPr>
                </pic:pic>
              </a:graphicData>
            </a:graphic>
          </wp:inline>
        </w:drawing>
      </w:r>
    </w:p>
    <w:p w:rsidR="00B42530" w:rsidRPr="00B42530" w:rsidRDefault="00B42530" w:rsidP="006F1565">
      <w:pPr>
        <w:pStyle w:val="Caption"/>
        <w:spacing w:after="240"/>
        <w:jc w:val="center"/>
      </w:pPr>
      <w:bookmarkStart w:id="44" w:name="_Toc460923878"/>
      <w:r>
        <w:t xml:space="preserve">Figure </w:t>
      </w:r>
      <w:r w:rsidR="00E27A82">
        <w:fldChar w:fldCharType="begin"/>
      </w:r>
      <w:r w:rsidR="002D15AB">
        <w:instrText xml:space="preserve"> SEQ Figure \* ARABIC </w:instrText>
      </w:r>
      <w:r w:rsidR="00E27A82">
        <w:fldChar w:fldCharType="separate"/>
      </w:r>
      <w:r w:rsidR="00ED66C2">
        <w:rPr>
          <w:noProof/>
        </w:rPr>
        <w:t>21</w:t>
      </w:r>
      <w:r w:rsidR="00E27A82">
        <w:fldChar w:fldCharType="end"/>
      </w:r>
      <w:r w:rsidR="00280800">
        <w:t>:</w:t>
      </w:r>
      <w:r>
        <w:t xml:space="preserve"> </w:t>
      </w:r>
      <w:r w:rsidRPr="007668A0">
        <w:rPr>
          <w:lang w:val="en-GB"/>
        </w:rPr>
        <w:t>Concentration of Total Suspended Matter (TSM) in the North S</w:t>
      </w:r>
      <w:r>
        <w:rPr>
          <w:lang w:val="en-GB"/>
        </w:rPr>
        <w:t xml:space="preserve">ea, derived from SEVIRI imagery </w:t>
      </w:r>
      <w:r>
        <w:t>(Neukermans et al</w:t>
      </w:r>
      <w:r w:rsidR="005834B0">
        <w:t>.</w:t>
      </w:r>
      <w:r>
        <w:t>, 2009).</w:t>
      </w:r>
      <w:bookmarkEnd w:id="44"/>
    </w:p>
    <w:p w:rsidR="00B42530" w:rsidRDefault="00B42530" w:rsidP="00B42530">
      <w:pPr>
        <w:keepNext/>
        <w:jc w:val="center"/>
      </w:pPr>
      <w:r w:rsidRPr="00B42530">
        <w:rPr>
          <w:noProof/>
          <w:lang w:val="en-US" w:eastAsia="en-US"/>
        </w:rPr>
        <w:drawing>
          <wp:inline distT="0" distB="0" distL="0" distR="0">
            <wp:extent cx="5881812" cy="1762963"/>
            <wp:effectExtent l="0" t="0" r="4638" b="0"/>
            <wp:docPr id="26" name="Picture 7" descr="20080415_smoo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41" descr="20080415_smooth.png"/>
                    <pic:cNvPicPr>
                      <a:picLocks noChangeAspect="1"/>
                    </pic:cNvPicPr>
                  </pic:nvPicPr>
                  <pic:blipFill>
                    <a:blip r:embed="rId52"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31" r="3571" b="49294"/>
                    <a:stretch>
                      <a:fillRect/>
                    </a:stretch>
                  </pic:blipFill>
                  <pic:spPr bwMode="auto">
                    <a:xfrm>
                      <a:off x="0" y="0"/>
                      <a:ext cx="5884861" cy="1763877"/>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inline>
        </w:drawing>
      </w:r>
    </w:p>
    <w:p w:rsidR="00D4272F" w:rsidRPr="006F1565" w:rsidRDefault="00B42530" w:rsidP="00A979D9">
      <w:pPr>
        <w:pStyle w:val="Caption"/>
        <w:spacing w:before="120" w:after="240"/>
        <w:jc w:val="center"/>
        <w:rPr>
          <w:rFonts w:eastAsia="Cambria"/>
          <w:lang w:val="fr-FR"/>
        </w:rPr>
      </w:pPr>
      <w:bookmarkStart w:id="45" w:name="_Toc460923879"/>
      <w:r>
        <w:t xml:space="preserve">Figure </w:t>
      </w:r>
      <w:r w:rsidR="00E27A82">
        <w:fldChar w:fldCharType="begin"/>
      </w:r>
      <w:r w:rsidR="002D15AB">
        <w:instrText xml:space="preserve"> SEQ Figure \* ARABIC </w:instrText>
      </w:r>
      <w:r w:rsidR="00E27A82">
        <w:fldChar w:fldCharType="separate"/>
      </w:r>
      <w:r w:rsidR="00ED66C2">
        <w:rPr>
          <w:noProof/>
        </w:rPr>
        <w:t>22</w:t>
      </w:r>
      <w:r w:rsidR="00E27A82">
        <w:fldChar w:fldCharType="end"/>
      </w:r>
      <w:r w:rsidR="00280800">
        <w:t>:</w:t>
      </w:r>
      <w:r>
        <w:t xml:space="preserve"> </w:t>
      </w:r>
      <w:r w:rsidRPr="00F22186">
        <w:t>Comparison of a daily composite of SEVIRI turbidity data (T, FNU) with a sing</w:t>
      </w:r>
      <w:r>
        <w:t>le daily MODIS-Aqua observation (</w:t>
      </w:r>
      <w:r>
        <w:rPr>
          <w:rFonts w:eastAsia="Cambria"/>
          <w:lang w:val="fr-FR"/>
        </w:rPr>
        <w:t>Neukermans, 2012).</w:t>
      </w:r>
      <w:bookmarkEnd w:id="45"/>
    </w:p>
    <w:p w:rsidR="00B42530" w:rsidRDefault="00B42530" w:rsidP="00B42530">
      <w:pPr>
        <w:keepNext/>
        <w:jc w:val="center"/>
      </w:pPr>
      <w:r w:rsidRPr="00B42530">
        <w:rPr>
          <w:noProof/>
          <w:lang w:val="en-US" w:eastAsia="en-US"/>
        </w:rPr>
        <w:drawing>
          <wp:inline distT="0" distB="0" distL="0" distR="0">
            <wp:extent cx="2103882" cy="2318919"/>
            <wp:effectExtent l="19050" t="0" r="0" b="0"/>
            <wp:docPr id="27" name="Picture 8" descr="OC1.jpg"/>
            <wp:cNvGraphicFramePr/>
            <a:graphic xmlns:a="http://schemas.openxmlformats.org/drawingml/2006/main">
              <a:graphicData uri="http://schemas.openxmlformats.org/drawingml/2006/picture">
                <pic:pic xmlns:pic="http://schemas.openxmlformats.org/drawingml/2006/picture">
                  <pic:nvPicPr>
                    <pic:cNvPr id="4" name="Picture 3" descr="OC1.jpg"/>
                    <pic:cNvPicPr>
                      <a:picLocks noChangeAspect="1"/>
                    </pic:cNvPicPr>
                  </pic:nvPicPr>
                  <pic:blipFill>
                    <a:blip r:embed="rId53" cstate="print"/>
                    <a:stretch>
                      <a:fillRect/>
                    </a:stretch>
                  </pic:blipFill>
                  <pic:spPr>
                    <a:xfrm>
                      <a:off x="0" y="0"/>
                      <a:ext cx="2109202" cy="2324783"/>
                    </a:xfrm>
                    <a:prstGeom prst="rect">
                      <a:avLst/>
                    </a:prstGeom>
                  </pic:spPr>
                </pic:pic>
              </a:graphicData>
            </a:graphic>
          </wp:inline>
        </w:drawing>
      </w:r>
    </w:p>
    <w:p w:rsidR="00B42530" w:rsidRDefault="00B42530" w:rsidP="00554D86">
      <w:pPr>
        <w:pStyle w:val="Caption"/>
        <w:jc w:val="center"/>
      </w:pPr>
      <w:bookmarkStart w:id="46" w:name="_Toc460923880"/>
      <w:r>
        <w:t xml:space="preserve">Figure </w:t>
      </w:r>
      <w:r w:rsidR="00E27A82">
        <w:fldChar w:fldCharType="begin"/>
      </w:r>
      <w:r w:rsidR="002D15AB">
        <w:instrText xml:space="preserve"> SEQ Figure \* ARABIC </w:instrText>
      </w:r>
      <w:r w:rsidR="00E27A82">
        <w:fldChar w:fldCharType="separate"/>
      </w:r>
      <w:r w:rsidR="00ED66C2">
        <w:rPr>
          <w:noProof/>
        </w:rPr>
        <w:t>23</w:t>
      </w:r>
      <w:r w:rsidR="00E27A82">
        <w:fldChar w:fldCharType="end"/>
      </w:r>
      <w:r w:rsidR="00280800">
        <w:t>:</w:t>
      </w:r>
      <w:r>
        <w:t xml:space="preserve"> Coccolithophore bloom as observed by MSG/SEVIRI (</w:t>
      </w:r>
      <w:r w:rsidRPr="00996A79">
        <w:t>Vanhellemont</w:t>
      </w:r>
      <w:r w:rsidR="005834B0">
        <w:t xml:space="preserve"> et</w:t>
      </w:r>
      <w:r w:rsidR="00D2086C">
        <w:t xml:space="preserve"> al.</w:t>
      </w:r>
      <w:r>
        <w:t>, 201</w:t>
      </w:r>
      <w:r w:rsidR="00D2086C">
        <w:t>3</w:t>
      </w:r>
      <w:r>
        <w:t>).</w:t>
      </w:r>
      <w:bookmarkEnd w:id="46"/>
    </w:p>
    <w:p w:rsidR="00D4272F" w:rsidRPr="00D4272F" w:rsidRDefault="00D4272F" w:rsidP="00D4272F"/>
    <w:p w:rsidR="00554D86" w:rsidRDefault="00554D86" w:rsidP="00554D86">
      <w:pPr>
        <w:keepNext/>
        <w:jc w:val="center"/>
      </w:pPr>
      <w:r w:rsidRPr="00554D86">
        <w:rPr>
          <w:noProof/>
          <w:lang w:val="en-US" w:eastAsia="en-US"/>
        </w:rPr>
        <w:drawing>
          <wp:inline distT="0" distB="0" distL="0" distR="0">
            <wp:extent cx="6120130" cy="3067677"/>
            <wp:effectExtent l="19050" t="0" r="0" b="0"/>
            <wp:docPr id="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srcRect/>
                    <a:stretch>
                      <a:fillRect/>
                    </a:stretch>
                  </pic:blipFill>
                  <pic:spPr bwMode="auto">
                    <a:xfrm>
                      <a:off x="0" y="0"/>
                      <a:ext cx="6120130" cy="3067677"/>
                    </a:xfrm>
                    <a:prstGeom prst="rect">
                      <a:avLst/>
                    </a:prstGeom>
                    <a:noFill/>
                    <a:ln w="9525">
                      <a:noFill/>
                      <a:miter lim="800000"/>
                      <a:headEnd/>
                      <a:tailEnd/>
                    </a:ln>
                  </pic:spPr>
                </pic:pic>
              </a:graphicData>
            </a:graphic>
          </wp:inline>
        </w:drawing>
      </w:r>
    </w:p>
    <w:p w:rsidR="00554D86" w:rsidRDefault="00554D86" w:rsidP="00280800">
      <w:pPr>
        <w:pStyle w:val="Caption"/>
        <w:jc w:val="center"/>
      </w:pPr>
      <w:bookmarkStart w:id="47" w:name="_Toc460923881"/>
      <w:r>
        <w:t xml:space="preserve">Figure </w:t>
      </w:r>
      <w:r w:rsidR="00E27A82">
        <w:fldChar w:fldCharType="begin"/>
      </w:r>
      <w:r w:rsidR="002D15AB">
        <w:instrText xml:space="preserve"> SEQ Figure \* ARABIC </w:instrText>
      </w:r>
      <w:r w:rsidR="00E27A82">
        <w:fldChar w:fldCharType="separate"/>
      </w:r>
      <w:r w:rsidR="00ED66C2">
        <w:rPr>
          <w:noProof/>
        </w:rPr>
        <w:t>24</w:t>
      </w:r>
      <w:r w:rsidR="00E27A82">
        <w:fldChar w:fldCharType="end"/>
      </w:r>
      <w:r w:rsidR="00280800">
        <w:t>:</w:t>
      </w:r>
      <w:r>
        <w:t xml:space="preserve"> Blue-green algae monitoring of Taihu Lake using Himawari-8 satellite data on Sep 8 2015. </w:t>
      </w:r>
      <w:r w:rsidR="005834B0">
        <w:t>(</w:t>
      </w:r>
      <w:r w:rsidR="00E11AAE">
        <w:rPr>
          <w:shd w:val="clear" w:color="auto" w:fill="FFFFFF"/>
        </w:rPr>
        <w:t>CGMS-44-C</w:t>
      </w:r>
      <w:r w:rsidR="00E11AAE" w:rsidRPr="001E5C53">
        <w:rPr>
          <w:shd w:val="clear" w:color="auto" w:fill="FFFFFF"/>
        </w:rPr>
        <w:t>MA-WP-01</w:t>
      </w:r>
      <w:r w:rsidR="00E11AAE">
        <w:rPr>
          <w:shd w:val="clear" w:color="auto" w:fill="FFFFFF"/>
        </w:rPr>
        <w:t>,</w:t>
      </w:r>
      <w:r w:rsidR="00B335D7" w:rsidRPr="00B335D7">
        <w:rPr>
          <w:rFonts w:asciiTheme="minorHAnsi" w:hAnsiTheme="minorHAnsi" w:cstheme="minorHAnsi"/>
          <w:lang w:val="en-GB"/>
        </w:rPr>
        <w:t xml:space="preserve"> 2016</w:t>
      </w:r>
      <w:r w:rsidR="005834B0">
        <w:rPr>
          <w:rFonts w:asciiTheme="minorHAnsi" w:hAnsiTheme="minorHAnsi" w:cstheme="minorHAnsi"/>
          <w:lang w:val="en-GB"/>
        </w:rPr>
        <w:t>)</w:t>
      </w:r>
      <w:r w:rsidR="00280800">
        <w:rPr>
          <w:rFonts w:asciiTheme="minorHAnsi" w:hAnsiTheme="minorHAnsi" w:cstheme="minorHAnsi"/>
          <w:lang w:val="en-GB"/>
        </w:rPr>
        <w:t>.</w:t>
      </w:r>
      <w:bookmarkEnd w:id="47"/>
    </w:p>
    <w:p w:rsidR="00D4272F" w:rsidRDefault="00D4272F" w:rsidP="00D4272F">
      <w:r>
        <w:t xml:space="preserve">JAXA developed an ocean colour inversion for Himwari-8 AHI data (Murakami, 2016) by adopting algorithms previously developed for polar-orbiting sensors. For the retrieval of chlorophyll-a these are based on empirical band ratio algorithms using atmospherically corrected remote sensing reflectance as input. The chlorophyll-a products and their browse images are also available from the JAXA Himawari-8 Monitor portal at </w:t>
      </w:r>
      <w:hyperlink r:id="rId55" w:history="1">
        <w:r w:rsidRPr="002B6A54">
          <w:rPr>
            <w:rStyle w:val="Hyperlink"/>
          </w:rPr>
          <w:t>http://www.eorc.jaxa.jp/ptree/</w:t>
        </w:r>
      </w:hyperlink>
      <w:r>
        <w:t>.</w:t>
      </w:r>
    </w:p>
    <w:p w:rsidR="00DB7041" w:rsidRPr="00120261" w:rsidRDefault="00DB7041" w:rsidP="00D4272F"/>
    <w:p w:rsidR="00D4272F" w:rsidRDefault="00D4272F" w:rsidP="00D4272F">
      <w:pPr>
        <w:keepNext/>
        <w:jc w:val="center"/>
      </w:pPr>
      <w:r w:rsidRPr="00120261">
        <w:rPr>
          <w:noProof/>
          <w:lang w:val="en-US" w:eastAsia="en-US"/>
        </w:rPr>
        <w:drawing>
          <wp:inline distT="0" distB="0" distL="0" distR="0">
            <wp:extent cx="2910481" cy="2735885"/>
            <wp:effectExtent l="19050" t="0" r="4169" b="0"/>
            <wp:docPr id="59" name="Picture 1" descr="D:\Documents\GSICS\himawari_aero_oc\comp_ahi_cal_20150720_01_1H_chla_r12_r23_oci_m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D:\Documents\GSICS\himawari_aero_oc\comp_ahi_cal_20150720_01_1H_chla_r12_r23_oci_mix.jpg"/>
                    <pic:cNvPicPr>
                      <a:picLocks noChangeAspect="1" noChangeArrowheads="1"/>
                    </pic:cNvPicPr>
                  </pic:nvPicPr>
                  <pic:blipFill rotWithShape="1">
                    <a:blip r:embed="rId56"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l="72203" r="827" b="44662"/>
                    <a:stretch/>
                  </pic:blipFill>
                  <pic:spPr bwMode="auto">
                    <a:xfrm>
                      <a:off x="0" y="0"/>
                      <a:ext cx="2909661" cy="2735114"/>
                    </a:xfrm>
                    <a:prstGeom prst="rect">
                      <a:avLst/>
                    </a:prstGeom>
                    <a:noFill/>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r w:rsidRPr="00120261">
        <w:rPr>
          <w:noProof/>
          <w:lang w:val="en-US" w:eastAsia="en-US"/>
        </w:rPr>
        <w:drawing>
          <wp:inline distT="0" distB="0" distL="0" distR="0">
            <wp:extent cx="2842835" cy="2674838"/>
            <wp:effectExtent l="19050" t="0" r="0" b="0"/>
            <wp:docPr id="60" name="Picture 2" descr="D:\Documents\GSICS\himawari_aero_oc\comp_ahi_cal_20150720_01_1H_chla_r12_r23_oci_m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D:\Documents\GSICS\himawari_aero_oc\comp_ahi_cal_20150720_01_1H_chla_r12_r23_oci_mix.jpg"/>
                    <pic:cNvPicPr>
                      <a:picLocks noChangeAspect="1" noChangeArrowheads="1"/>
                    </pic:cNvPicPr>
                  </pic:nvPicPr>
                  <pic:blipFill rotWithShape="1">
                    <a:blip r:embed="rId56"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l="73908" t="57268" r="5629"/>
                    <a:stretch/>
                  </pic:blipFill>
                  <pic:spPr bwMode="auto">
                    <a:xfrm>
                      <a:off x="0" y="0"/>
                      <a:ext cx="2844684" cy="2676578"/>
                    </a:xfrm>
                    <a:prstGeom prst="rect">
                      <a:avLst/>
                    </a:prstGeom>
                    <a:noFill/>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p>
    <w:p w:rsidR="00D4272F" w:rsidRDefault="00D4272F" w:rsidP="00D4272F">
      <w:pPr>
        <w:pStyle w:val="Caption"/>
        <w:spacing w:after="240"/>
        <w:jc w:val="center"/>
      </w:pPr>
      <w:bookmarkStart w:id="48" w:name="_Toc460923882"/>
      <w:r>
        <w:t xml:space="preserve">Figure </w:t>
      </w:r>
      <w:r w:rsidR="00E27A82">
        <w:fldChar w:fldCharType="begin"/>
      </w:r>
      <w:r w:rsidR="002D15AB">
        <w:instrText xml:space="preserve"> SEQ Figure \* ARABIC </w:instrText>
      </w:r>
      <w:r w:rsidR="00E27A82">
        <w:fldChar w:fldCharType="separate"/>
      </w:r>
      <w:r w:rsidR="00ED66C2">
        <w:rPr>
          <w:noProof/>
        </w:rPr>
        <w:t>25</w:t>
      </w:r>
      <w:r w:rsidR="00E27A82">
        <w:fldChar w:fldCharType="end"/>
      </w:r>
      <w:r w:rsidR="00BF6613">
        <w:t>:</w:t>
      </w:r>
      <w:r>
        <w:t xml:space="preserve"> Averaged chlorophyll-a retrieved from Himawari-8 observations 01:00-01:50 UTC on 20 July 2015 for the wider Asia-Pacific region (left) and inter-comparison of Himawari-8 retrievals with MODIS daily Level 3 (right) </w:t>
      </w:r>
      <w:r w:rsidR="005834B0">
        <w:t>(</w:t>
      </w:r>
      <w:r>
        <w:t>Murakami, 2016</w:t>
      </w:r>
      <w:r w:rsidR="005834B0">
        <w:t>).</w:t>
      </w:r>
      <w:bookmarkEnd w:id="48"/>
    </w:p>
    <w:p w:rsidR="00B42530" w:rsidRDefault="00CE0F2E" w:rsidP="0083491E">
      <w:r>
        <w:t>Ocean colour</w:t>
      </w:r>
      <w:r w:rsidR="00D4272F">
        <w:t xml:space="preserve"> applications</w:t>
      </w:r>
      <w:r>
        <w:t xml:space="preserve"> and the benefits by geostationary satellite data can have a significant contribution to </w:t>
      </w:r>
      <w:r w:rsidRPr="001E65C8">
        <w:rPr>
          <w:b/>
        </w:rPr>
        <w:t>SBA/Water</w:t>
      </w:r>
      <w:r>
        <w:t xml:space="preserve">, </w:t>
      </w:r>
      <w:r w:rsidRPr="001E65C8">
        <w:rPr>
          <w:b/>
        </w:rPr>
        <w:t>SBA/Climate</w:t>
      </w:r>
      <w:r>
        <w:t>,</w:t>
      </w:r>
      <w:r w:rsidR="00D4272F">
        <w:t xml:space="preserve"> </w:t>
      </w:r>
      <w:r w:rsidRPr="001E65C8">
        <w:rPr>
          <w:b/>
        </w:rPr>
        <w:t>SBA/Ecosystems</w:t>
      </w:r>
      <w:r>
        <w:t xml:space="preserve"> and </w:t>
      </w:r>
      <w:r w:rsidRPr="001E65C8">
        <w:rPr>
          <w:b/>
        </w:rPr>
        <w:t>SBA/Health</w:t>
      </w:r>
      <w:r>
        <w:t xml:space="preserve">. </w:t>
      </w:r>
    </w:p>
    <w:p w:rsidR="0083491E" w:rsidRPr="0083491E" w:rsidRDefault="0083491E" w:rsidP="0083491E">
      <w:pPr>
        <w:pStyle w:val="Heading2"/>
      </w:pPr>
      <w:bookmarkStart w:id="49" w:name="_Toc460923840"/>
      <w:r w:rsidRPr="00996A79">
        <w:t>Land products</w:t>
      </w:r>
      <w:bookmarkEnd w:id="49"/>
    </w:p>
    <w:p w:rsidR="0083491E" w:rsidRPr="0083491E" w:rsidRDefault="0083491E" w:rsidP="0083491E">
      <w:pPr>
        <w:pStyle w:val="Heading3"/>
      </w:pPr>
      <w:r w:rsidRPr="00996A79">
        <w:t>Overview</w:t>
      </w:r>
    </w:p>
    <w:p w:rsidR="00B42530" w:rsidRDefault="0083491E" w:rsidP="00747E63">
      <w:r w:rsidRPr="00996A79">
        <w:t xml:space="preserve">The land products considered in this chapter are Fire, Land Surface Temperature, Snow, Flood/Standing water, drought, vegetation and albedo. Table 4 gives an overview of all products and an indication of which instruments of the new generation are used or planned to be used to derive the associated products. </w:t>
      </w:r>
    </w:p>
    <w:p w:rsidR="0083491E" w:rsidRDefault="0083491E" w:rsidP="0083491E">
      <w:pPr>
        <w:pStyle w:val="Caption"/>
        <w:jc w:val="center"/>
      </w:pPr>
      <w:bookmarkStart w:id="50" w:name="_Ref459137759"/>
      <w:bookmarkStart w:id="51" w:name="_Toc460923904"/>
      <w:r>
        <w:t xml:space="preserve">Table </w:t>
      </w:r>
      <w:fldSimple w:instr=" SEQ Table \* ARABIC ">
        <w:r w:rsidR="00ED66C2">
          <w:rPr>
            <w:noProof/>
          </w:rPr>
          <w:t>7</w:t>
        </w:r>
      </w:fldSimple>
      <w:bookmarkEnd w:id="50"/>
      <w:r w:rsidR="00BF6613">
        <w:t>:</w:t>
      </w:r>
      <w:r>
        <w:t xml:space="preserve"> Foreseen products and parameters for land NMA products (Baseline=B, Future capability/potential=F).</w:t>
      </w:r>
      <w:bookmarkEnd w:id="51"/>
    </w:p>
    <w:tbl>
      <w:tblPr>
        <w:tblStyle w:val="TableGrid"/>
        <w:tblW w:w="0" w:type="auto"/>
        <w:jc w:val="center"/>
        <w:tblLook w:val="04A0"/>
      </w:tblPr>
      <w:tblGrid>
        <w:gridCol w:w="2173"/>
        <w:gridCol w:w="1990"/>
        <w:gridCol w:w="806"/>
        <w:gridCol w:w="816"/>
        <w:gridCol w:w="814"/>
        <w:gridCol w:w="812"/>
        <w:gridCol w:w="787"/>
        <w:gridCol w:w="1044"/>
      </w:tblGrid>
      <w:tr w:rsidR="0083491E" w:rsidRPr="00996A79" w:rsidTr="0083491E">
        <w:trPr>
          <w:jc w:val="center"/>
        </w:trPr>
        <w:tc>
          <w:tcPr>
            <w:tcW w:w="2173" w:type="dxa"/>
          </w:tcPr>
          <w:p w:rsidR="0083491E" w:rsidRPr="00996A79" w:rsidRDefault="0083491E" w:rsidP="0083491E">
            <w:r w:rsidRPr="00996A79">
              <w:t>Product</w:t>
            </w:r>
          </w:p>
        </w:tc>
        <w:tc>
          <w:tcPr>
            <w:tcW w:w="1990" w:type="dxa"/>
          </w:tcPr>
          <w:p w:rsidR="0083491E" w:rsidRPr="00996A79" w:rsidRDefault="0083491E" w:rsidP="0083491E">
            <w:pPr>
              <w:rPr>
                <w:rFonts w:eastAsia="Times New Roman"/>
              </w:rPr>
            </w:pPr>
            <w:r w:rsidRPr="00996A79">
              <w:rPr>
                <w:rFonts w:eastAsia="Times New Roman"/>
              </w:rPr>
              <w:t>Parameter</w:t>
            </w:r>
          </w:p>
        </w:tc>
        <w:tc>
          <w:tcPr>
            <w:tcW w:w="806" w:type="dxa"/>
          </w:tcPr>
          <w:p w:rsidR="0083491E" w:rsidRPr="00996A79" w:rsidRDefault="0083491E" w:rsidP="0083491E">
            <w:pPr>
              <w:rPr>
                <w:rFonts w:eastAsia="Times New Roman"/>
              </w:rPr>
            </w:pPr>
            <w:r w:rsidRPr="00996A79">
              <w:rPr>
                <w:rFonts w:eastAsia="Times New Roman"/>
              </w:rPr>
              <w:t>ABI</w:t>
            </w:r>
          </w:p>
        </w:tc>
        <w:tc>
          <w:tcPr>
            <w:tcW w:w="816" w:type="dxa"/>
          </w:tcPr>
          <w:p w:rsidR="0083491E" w:rsidRPr="00996A79" w:rsidRDefault="0083491E" w:rsidP="0083491E">
            <w:pPr>
              <w:rPr>
                <w:rFonts w:eastAsia="Times New Roman"/>
              </w:rPr>
            </w:pPr>
            <w:r w:rsidRPr="00996A79">
              <w:rPr>
                <w:rFonts w:eastAsia="Times New Roman"/>
              </w:rPr>
              <w:t>AHI</w:t>
            </w:r>
          </w:p>
        </w:tc>
        <w:tc>
          <w:tcPr>
            <w:tcW w:w="814" w:type="dxa"/>
          </w:tcPr>
          <w:p w:rsidR="0083491E" w:rsidRPr="00996A79" w:rsidRDefault="0083491E" w:rsidP="0083491E">
            <w:pPr>
              <w:rPr>
                <w:rFonts w:eastAsia="Times New Roman"/>
              </w:rPr>
            </w:pPr>
            <w:r w:rsidRPr="00996A79">
              <w:rPr>
                <w:rFonts w:eastAsia="Times New Roman"/>
              </w:rPr>
              <w:t>A</w:t>
            </w:r>
            <w:r w:rsidR="00F37B38">
              <w:rPr>
                <w:rFonts w:eastAsia="Times New Roman"/>
              </w:rPr>
              <w:t>M</w:t>
            </w:r>
            <w:r w:rsidRPr="00996A79">
              <w:rPr>
                <w:rFonts w:eastAsia="Times New Roman"/>
              </w:rPr>
              <w:t>I</w:t>
            </w:r>
          </w:p>
        </w:tc>
        <w:tc>
          <w:tcPr>
            <w:tcW w:w="812" w:type="dxa"/>
          </w:tcPr>
          <w:p w:rsidR="0083491E" w:rsidRPr="00996A79" w:rsidRDefault="00AF37E7" w:rsidP="0083491E">
            <w:pPr>
              <w:rPr>
                <w:rFonts w:eastAsia="Times New Roman"/>
              </w:rPr>
            </w:pPr>
            <w:r>
              <w:rPr>
                <w:rFonts w:eastAsia="Times New Roman"/>
              </w:rPr>
              <w:t>A</w:t>
            </w:r>
            <w:r w:rsidR="0083491E" w:rsidRPr="00996A79">
              <w:rPr>
                <w:rFonts w:eastAsia="Times New Roman"/>
              </w:rPr>
              <w:t>GRI</w:t>
            </w:r>
          </w:p>
        </w:tc>
        <w:tc>
          <w:tcPr>
            <w:tcW w:w="787" w:type="dxa"/>
          </w:tcPr>
          <w:p w:rsidR="0083491E" w:rsidRPr="00996A79" w:rsidRDefault="0083491E" w:rsidP="0083491E">
            <w:pPr>
              <w:rPr>
                <w:rFonts w:eastAsia="Times New Roman"/>
              </w:rPr>
            </w:pPr>
            <w:r w:rsidRPr="00996A79">
              <w:rPr>
                <w:rFonts w:eastAsia="Times New Roman"/>
              </w:rPr>
              <w:t>FCI</w:t>
            </w:r>
          </w:p>
        </w:tc>
        <w:tc>
          <w:tcPr>
            <w:tcW w:w="1044" w:type="dxa"/>
          </w:tcPr>
          <w:p w:rsidR="0083491E" w:rsidRPr="00996A79" w:rsidRDefault="0083491E" w:rsidP="0083491E">
            <w:pPr>
              <w:rPr>
                <w:rFonts w:eastAsia="Times New Roman"/>
              </w:rPr>
            </w:pPr>
            <w:r w:rsidRPr="00996A79">
              <w:rPr>
                <w:rFonts w:eastAsia="Times New Roman"/>
              </w:rPr>
              <w:t>SEVIRI</w:t>
            </w:r>
          </w:p>
        </w:tc>
      </w:tr>
      <w:tr w:rsidR="0083491E" w:rsidRPr="00996A79" w:rsidTr="0083491E">
        <w:trPr>
          <w:jc w:val="center"/>
        </w:trPr>
        <w:tc>
          <w:tcPr>
            <w:tcW w:w="2173" w:type="dxa"/>
          </w:tcPr>
          <w:p w:rsidR="0083491E" w:rsidRPr="00996A79" w:rsidRDefault="0083491E" w:rsidP="0083491E">
            <w:r w:rsidRPr="00996A79">
              <w:t>Fire/(Hot Spot)</w:t>
            </w:r>
          </w:p>
        </w:tc>
        <w:tc>
          <w:tcPr>
            <w:tcW w:w="1990" w:type="dxa"/>
          </w:tcPr>
          <w:p w:rsidR="0083491E" w:rsidRPr="00996A79" w:rsidRDefault="0083491E" w:rsidP="0083491E">
            <w:pPr>
              <w:rPr>
                <w:rFonts w:eastAsia="Times New Roman"/>
              </w:rPr>
            </w:pPr>
            <w:r w:rsidRPr="00996A79">
              <w:rPr>
                <w:rFonts w:eastAsia="Times New Roman"/>
              </w:rPr>
              <w:t>Detection</w:t>
            </w:r>
          </w:p>
        </w:tc>
        <w:tc>
          <w:tcPr>
            <w:tcW w:w="806" w:type="dxa"/>
          </w:tcPr>
          <w:p w:rsidR="0083491E" w:rsidRPr="00996A79" w:rsidRDefault="0083491E" w:rsidP="0083491E">
            <w:pPr>
              <w:rPr>
                <w:rFonts w:eastAsia="Times New Roman"/>
              </w:rPr>
            </w:pPr>
            <w:r w:rsidRPr="00996A79">
              <w:rPr>
                <w:rFonts w:eastAsia="Times New Roman"/>
              </w:rPr>
              <w:t>B</w:t>
            </w:r>
          </w:p>
        </w:tc>
        <w:tc>
          <w:tcPr>
            <w:tcW w:w="816" w:type="dxa"/>
          </w:tcPr>
          <w:p w:rsidR="0083491E" w:rsidRPr="00996A79" w:rsidRDefault="0083491E" w:rsidP="0083491E">
            <w:pPr>
              <w:rPr>
                <w:rFonts w:eastAsia="Times New Roman"/>
              </w:rPr>
            </w:pPr>
            <w:r w:rsidRPr="00996A79">
              <w:rPr>
                <w:rFonts w:eastAsia="Times New Roman"/>
              </w:rPr>
              <w:t>B</w:t>
            </w:r>
          </w:p>
        </w:tc>
        <w:tc>
          <w:tcPr>
            <w:tcW w:w="814" w:type="dxa"/>
          </w:tcPr>
          <w:p w:rsidR="0083491E" w:rsidRPr="00996A79" w:rsidRDefault="0083491E" w:rsidP="0083491E">
            <w:pPr>
              <w:rPr>
                <w:rFonts w:eastAsia="Times New Roman"/>
              </w:rPr>
            </w:pPr>
            <w:r w:rsidRPr="00996A79">
              <w:rPr>
                <w:rFonts w:eastAsia="Times New Roman"/>
              </w:rPr>
              <w:t>B</w:t>
            </w:r>
          </w:p>
        </w:tc>
        <w:tc>
          <w:tcPr>
            <w:tcW w:w="812" w:type="dxa"/>
          </w:tcPr>
          <w:p w:rsidR="0083491E" w:rsidRPr="00996A79" w:rsidRDefault="0083491E" w:rsidP="0083491E">
            <w:pPr>
              <w:rPr>
                <w:rFonts w:eastAsia="Times New Roman"/>
              </w:rPr>
            </w:pPr>
            <w:r w:rsidRPr="00996A79">
              <w:rPr>
                <w:rFonts w:eastAsia="Times New Roman"/>
              </w:rPr>
              <w:t>B</w:t>
            </w:r>
          </w:p>
        </w:tc>
        <w:tc>
          <w:tcPr>
            <w:tcW w:w="787" w:type="dxa"/>
          </w:tcPr>
          <w:p w:rsidR="0083491E" w:rsidRPr="00996A79" w:rsidRDefault="0083491E" w:rsidP="0083491E">
            <w:pPr>
              <w:rPr>
                <w:rFonts w:eastAsia="Times New Roman"/>
              </w:rPr>
            </w:pPr>
            <w:r w:rsidRPr="00996A79">
              <w:rPr>
                <w:rFonts w:eastAsia="Times New Roman"/>
              </w:rPr>
              <w:t>B</w:t>
            </w:r>
          </w:p>
        </w:tc>
        <w:tc>
          <w:tcPr>
            <w:tcW w:w="1044" w:type="dxa"/>
          </w:tcPr>
          <w:p w:rsidR="0083491E" w:rsidRPr="00996A79" w:rsidRDefault="0083491E" w:rsidP="0083491E">
            <w:pPr>
              <w:rPr>
                <w:rFonts w:eastAsia="Times New Roman"/>
              </w:rPr>
            </w:pPr>
            <w:r w:rsidRPr="00996A79">
              <w:rPr>
                <w:rFonts w:eastAsia="Times New Roman"/>
              </w:rPr>
              <w:t>B</w:t>
            </w:r>
          </w:p>
        </w:tc>
      </w:tr>
      <w:tr w:rsidR="0083491E" w:rsidRPr="00996A79" w:rsidTr="0083491E">
        <w:trPr>
          <w:jc w:val="center"/>
        </w:trPr>
        <w:tc>
          <w:tcPr>
            <w:tcW w:w="2173" w:type="dxa"/>
          </w:tcPr>
          <w:p w:rsidR="0083491E" w:rsidRPr="00996A79" w:rsidRDefault="0083491E" w:rsidP="0083491E"/>
        </w:tc>
        <w:tc>
          <w:tcPr>
            <w:tcW w:w="1990" w:type="dxa"/>
          </w:tcPr>
          <w:p w:rsidR="0083491E" w:rsidRPr="00996A79" w:rsidRDefault="0083491E" w:rsidP="0083491E">
            <w:pPr>
              <w:rPr>
                <w:rFonts w:eastAsia="Times New Roman"/>
              </w:rPr>
            </w:pPr>
            <w:r w:rsidRPr="00996A79">
              <w:rPr>
                <w:rFonts w:eastAsia="Times New Roman"/>
              </w:rPr>
              <w:t>Fire Radiative Power</w:t>
            </w:r>
          </w:p>
        </w:tc>
        <w:tc>
          <w:tcPr>
            <w:tcW w:w="806" w:type="dxa"/>
          </w:tcPr>
          <w:p w:rsidR="0083491E" w:rsidRPr="00996A79" w:rsidRDefault="0083491E" w:rsidP="0083491E">
            <w:pPr>
              <w:rPr>
                <w:rFonts w:eastAsia="Times New Roman"/>
              </w:rPr>
            </w:pPr>
          </w:p>
        </w:tc>
        <w:tc>
          <w:tcPr>
            <w:tcW w:w="816" w:type="dxa"/>
          </w:tcPr>
          <w:p w:rsidR="0083491E" w:rsidRPr="00996A79" w:rsidRDefault="0083491E" w:rsidP="0083491E">
            <w:pPr>
              <w:rPr>
                <w:rFonts w:eastAsia="Times New Roman"/>
              </w:rPr>
            </w:pPr>
          </w:p>
        </w:tc>
        <w:tc>
          <w:tcPr>
            <w:tcW w:w="814" w:type="dxa"/>
          </w:tcPr>
          <w:p w:rsidR="0083491E" w:rsidRPr="00996A79" w:rsidRDefault="0083491E" w:rsidP="0083491E">
            <w:pPr>
              <w:rPr>
                <w:rFonts w:eastAsia="Times New Roman"/>
              </w:rPr>
            </w:pPr>
            <w:r w:rsidRPr="00996A79">
              <w:rPr>
                <w:rFonts w:eastAsia="Times New Roman"/>
              </w:rPr>
              <w:t>F</w:t>
            </w:r>
          </w:p>
        </w:tc>
        <w:tc>
          <w:tcPr>
            <w:tcW w:w="812" w:type="dxa"/>
          </w:tcPr>
          <w:p w:rsidR="0083491E" w:rsidRPr="00996A79" w:rsidRDefault="0083491E" w:rsidP="0083491E">
            <w:pPr>
              <w:rPr>
                <w:rFonts w:eastAsia="Times New Roman"/>
              </w:rPr>
            </w:pPr>
          </w:p>
        </w:tc>
        <w:tc>
          <w:tcPr>
            <w:tcW w:w="787" w:type="dxa"/>
          </w:tcPr>
          <w:p w:rsidR="0083491E" w:rsidRPr="00996A79" w:rsidRDefault="0083491E" w:rsidP="0083491E">
            <w:pPr>
              <w:rPr>
                <w:rFonts w:eastAsia="Times New Roman"/>
              </w:rPr>
            </w:pPr>
            <w:r w:rsidRPr="00996A79">
              <w:rPr>
                <w:rFonts w:eastAsia="Times New Roman"/>
              </w:rPr>
              <w:t>B</w:t>
            </w:r>
          </w:p>
        </w:tc>
        <w:tc>
          <w:tcPr>
            <w:tcW w:w="1044" w:type="dxa"/>
          </w:tcPr>
          <w:p w:rsidR="0083491E" w:rsidRPr="00996A79" w:rsidRDefault="0083491E" w:rsidP="0083491E">
            <w:pPr>
              <w:rPr>
                <w:rFonts w:eastAsia="Times New Roman"/>
              </w:rPr>
            </w:pPr>
            <w:r w:rsidRPr="00996A79">
              <w:rPr>
                <w:rFonts w:eastAsia="Times New Roman"/>
              </w:rPr>
              <w:t>B</w:t>
            </w:r>
          </w:p>
        </w:tc>
      </w:tr>
      <w:tr w:rsidR="0083491E" w:rsidRPr="00996A79" w:rsidTr="0083491E">
        <w:trPr>
          <w:jc w:val="center"/>
        </w:trPr>
        <w:tc>
          <w:tcPr>
            <w:tcW w:w="2173" w:type="dxa"/>
          </w:tcPr>
          <w:p w:rsidR="0083491E" w:rsidRPr="00996A79" w:rsidRDefault="0083491E" w:rsidP="0083491E">
            <w:r w:rsidRPr="00996A79">
              <w:t>Land Surface Temperature</w:t>
            </w:r>
          </w:p>
        </w:tc>
        <w:tc>
          <w:tcPr>
            <w:tcW w:w="1990" w:type="dxa"/>
          </w:tcPr>
          <w:p w:rsidR="0083491E" w:rsidRPr="00996A79" w:rsidRDefault="0083491E" w:rsidP="0083491E">
            <w:pPr>
              <w:rPr>
                <w:rFonts w:eastAsia="Times New Roman"/>
              </w:rPr>
            </w:pPr>
            <w:r w:rsidRPr="00996A79">
              <w:rPr>
                <w:rFonts w:eastAsia="Times New Roman"/>
              </w:rPr>
              <w:t>Temperature</w:t>
            </w:r>
          </w:p>
        </w:tc>
        <w:tc>
          <w:tcPr>
            <w:tcW w:w="806" w:type="dxa"/>
          </w:tcPr>
          <w:p w:rsidR="0083491E" w:rsidRPr="00996A79" w:rsidRDefault="0083491E" w:rsidP="0083491E">
            <w:pPr>
              <w:rPr>
                <w:rFonts w:eastAsia="Times New Roman"/>
              </w:rPr>
            </w:pPr>
            <w:r w:rsidRPr="00996A79">
              <w:rPr>
                <w:rFonts w:eastAsia="Times New Roman"/>
              </w:rPr>
              <w:t>B</w:t>
            </w:r>
          </w:p>
        </w:tc>
        <w:tc>
          <w:tcPr>
            <w:tcW w:w="816" w:type="dxa"/>
          </w:tcPr>
          <w:p w:rsidR="0083491E" w:rsidRPr="00996A79" w:rsidRDefault="0083491E" w:rsidP="0083491E">
            <w:pPr>
              <w:rPr>
                <w:rFonts w:eastAsia="Times New Roman"/>
              </w:rPr>
            </w:pPr>
          </w:p>
        </w:tc>
        <w:tc>
          <w:tcPr>
            <w:tcW w:w="814" w:type="dxa"/>
          </w:tcPr>
          <w:p w:rsidR="0083491E" w:rsidRPr="00996A79" w:rsidRDefault="0083491E" w:rsidP="0083491E">
            <w:pPr>
              <w:rPr>
                <w:rFonts w:eastAsia="Times New Roman"/>
              </w:rPr>
            </w:pPr>
            <w:r w:rsidRPr="00996A79">
              <w:rPr>
                <w:rFonts w:eastAsia="Times New Roman"/>
              </w:rPr>
              <w:t>B</w:t>
            </w:r>
          </w:p>
        </w:tc>
        <w:tc>
          <w:tcPr>
            <w:tcW w:w="812" w:type="dxa"/>
          </w:tcPr>
          <w:p w:rsidR="0083491E" w:rsidRPr="00996A79" w:rsidRDefault="0083491E" w:rsidP="0083491E">
            <w:pPr>
              <w:rPr>
                <w:rFonts w:eastAsia="Times New Roman"/>
              </w:rPr>
            </w:pPr>
          </w:p>
        </w:tc>
        <w:tc>
          <w:tcPr>
            <w:tcW w:w="787" w:type="dxa"/>
          </w:tcPr>
          <w:p w:rsidR="0083491E" w:rsidRPr="00996A79" w:rsidRDefault="0083491E" w:rsidP="0083491E">
            <w:pPr>
              <w:rPr>
                <w:rFonts w:eastAsia="Times New Roman"/>
              </w:rPr>
            </w:pPr>
          </w:p>
        </w:tc>
        <w:tc>
          <w:tcPr>
            <w:tcW w:w="1044" w:type="dxa"/>
          </w:tcPr>
          <w:p w:rsidR="0083491E" w:rsidRPr="00996A79" w:rsidRDefault="0083491E" w:rsidP="0083491E">
            <w:pPr>
              <w:rPr>
                <w:rFonts w:eastAsia="Times New Roman"/>
              </w:rPr>
            </w:pPr>
          </w:p>
        </w:tc>
      </w:tr>
      <w:tr w:rsidR="0083491E" w:rsidRPr="00996A79" w:rsidTr="0083491E">
        <w:trPr>
          <w:jc w:val="center"/>
        </w:trPr>
        <w:tc>
          <w:tcPr>
            <w:tcW w:w="2173" w:type="dxa"/>
          </w:tcPr>
          <w:p w:rsidR="0083491E" w:rsidRPr="00996A79" w:rsidRDefault="0083491E" w:rsidP="0083491E">
            <w:r w:rsidRPr="00996A79">
              <w:t>Snow</w:t>
            </w:r>
          </w:p>
        </w:tc>
        <w:tc>
          <w:tcPr>
            <w:tcW w:w="1990" w:type="dxa"/>
          </w:tcPr>
          <w:p w:rsidR="0083491E" w:rsidRPr="00996A79" w:rsidRDefault="0083491E" w:rsidP="0083491E">
            <w:pPr>
              <w:rPr>
                <w:rFonts w:eastAsia="Times New Roman"/>
              </w:rPr>
            </w:pPr>
            <w:r w:rsidRPr="00996A79">
              <w:rPr>
                <w:rFonts w:eastAsia="Times New Roman"/>
              </w:rPr>
              <w:t>Cover</w:t>
            </w:r>
          </w:p>
        </w:tc>
        <w:tc>
          <w:tcPr>
            <w:tcW w:w="806" w:type="dxa"/>
          </w:tcPr>
          <w:p w:rsidR="0083491E" w:rsidRPr="00996A79" w:rsidRDefault="0083491E" w:rsidP="0083491E">
            <w:pPr>
              <w:rPr>
                <w:rFonts w:eastAsia="Times New Roman"/>
              </w:rPr>
            </w:pPr>
            <w:r w:rsidRPr="00996A79">
              <w:rPr>
                <w:rFonts w:eastAsia="Times New Roman"/>
              </w:rPr>
              <w:t>B</w:t>
            </w:r>
          </w:p>
        </w:tc>
        <w:tc>
          <w:tcPr>
            <w:tcW w:w="816" w:type="dxa"/>
          </w:tcPr>
          <w:p w:rsidR="0083491E" w:rsidRPr="00996A79" w:rsidRDefault="0083491E" w:rsidP="0083491E">
            <w:pPr>
              <w:rPr>
                <w:rFonts w:eastAsia="Times New Roman"/>
              </w:rPr>
            </w:pPr>
            <w:r w:rsidRPr="00996A79">
              <w:rPr>
                <w:rFonts w:eastAsia="Times New Roman"/>
              </w:rPr>
              <w:t>F</w:t>
            </w:r>
          </w:p>
        </w:tc>
        <w:tc>
          <w:tcPr>
            <w:tcW w:w="814" w:type="dxa"/>
          </w:tcPr>
          <w:p w:rsidR="0083491E" w:rsidRPr="00996A79" w:rsidRDefault="0083491E" w:rsidP="0083491E">
            <w:pPr>
              <w:rPr>
                <w:rFonts w:eastAsia="Times New Roman"/>
              </w:rPr>
            </w:pPr>
            <w:r w:rsidRPr="00996A79">
              <w:rPr>
                <w:rFonts w:eastAsia="Times New Roman"/>
              </w:rPr>
              <w:t>B</w:t>
            </w:r>
          </w:p>
        </w:tc>
        <w:tc>
          <w:tcPr>
            <w:tcW w:w="812" w:type="dxa"/>
          </w:tcPr>
          <w:p w:rsidR="0083491E" w:rsidRPr="00996A79" w:rsidRDefault="0083491E" w:rsidP="0083491E">
            <w:pPr>
              <w:rPr>
                <w:rFonts w:eastAsia="Times New Roman"/>
              </w:rPr>
            </w:pPr>
          </w:p>
        </w:tc>
        <w:tc>
          <w:tcPr>
            <w:tcW w:w="787" w:type="dxa"/>
          </w:tcPr>
          <w:p w:rsidR="0083491E" w:rsidRPr="00996A79" w:rsidRDefault="0083491E" w:rsidP="0083491E">
            <w:pPr>
              <w:rPr>
                <w:rFonts w:eastAsia="Times New Roman"/>
              </w:rPr>
            </w:pPr>
          </w:p>
        </w:tc>
        <w:tc>
          <w:tcPr>
            <w:tcW w:w="1044" w:type="dxa"/>
          </w:tcPr>
          <w:p w:rsidR="0083491E" w:rsidRPr="00996A79" w:rsidRDefault="0083491E" w:rsidP="0083491E">
            <w:pPr>
              <w:rPr>
                <w:rFonts w:eastAsia="Times New Roman"/>
              </w:rPr>
            </w:pPr>
          </w:p>
        </w:tc>
      </w:tr>
      <w:tr w:rsidR="0083491E" w:rsidRPr="00996A79" w:rsidTr="0083491E">
        <w:trPr>
          <w:jc w:val="center"/>
        </w:trPr>
        <w:tc>
          <w:tcPr>
            <w:tcW w:w="2173" w:type="dxa"/>
          </w:tcPr>
          <w:p w:rsidR="0083491E" w:rsidRPr="00996A79" w:rsidRDefault="0083491E" w:rsidP="0083491E"/>
        </w:tc>
        <w:tc>
          <w:tcPr>
            <w:tcW w:w="1990" w:type="dxa"/>
          </w:tcPr>
          <w:p w:rsidR="0083491E" w:rsidRPr="00996A79" w:rsidRDefault="0083491E" w:rsidP="0083491E">
            <w:pPr>
              <w:rPr>
                <w:rFonts w:eastAsia="Times New Roman"/>
              </w:rPr>
            </w:pPr>
            <w:r w:rsidRPr="00996A79">
              <w:t>Depth (over plains)</w:t>
            </w:r>
          </w:p>
        </w:tc>
        <w:tc>
          <w:tcPr>
            <w:tcW w:w="806" w:type="dxa"/>
          </w:tcPr>
          <w:p w:rsidR="0083491E" w:rsidRPr="00996A79" w:rsidRDefault="0083491E" w:rsidP="0083491E">
            <w:pPr>
              <w:rPr>
                <w:rFonts w:eastAsia="Times New Roman"/>
              </w:rPr>
            </w:pPr>
            <w:r w:rsidRPr="00996A79">
              <w:rPr>
                <w:rFonts w:eastAsia="Times New Roman"/>
              </w:rPr>
              <w:t>F</w:t>
            </w:r>
          </w:p>
        </w:tc>
        <w:tc>
          <w:tcPr>
            <w:tcW w:w="816" w:type="dxa"/>
          </w:tcPr>
          <w:p w:rsidR="0083491E" w:rsidRPr="00996A79" w:rsidRDefault="0083491E" w:rsidP="0083491E">
            <w:pPr>
              <w:rPr>
                <w:rFonts w:eastAsia="Times New Roman"/>
              </w:rPr>
            </w:pPr>
          </w:p>
        </w:tc>
        <w:tc>
          <w:tcPr>
            <w:tcW w:w="814" w:type="dxa"/>
          </w:tcPr>
          <w:p w:rsidR="0083491E" w:rsidRPr="00996A79" w:rsidRDefault="00F37B38" w:rsidP="0083491E">
            <w:pPr>
              <w:rPr>
                <w:rFonts w:eastAsia="Times New Roman"/>
              </w:rPr>
            </w:pPr>
            <w:r>
              <w:rPr>
                <w:rFonts w:eastAsia="Times New Roman"/>
              </w:rPr>
              <w:t>F</w:t>
            </w:r>
          </w:p>
        </w:tc>
        <w:tc>
          <w:tcPr>
            <w:tcW w:w="812" w:type="dxa"/>
          </w:tcPr>
          <w:p w:rsidR="0083491E" w:rsidRPr="00996A79" w:rsidRDefault="0083491E" w:rsidP="0083491E">
            <w:pPr>
              <w:rPr>
                <w:rFonts w:eastAsia="Times New Roman"/>
              </w:rPr>
            </w:pPr>
          </w:p>
        </w:tc>
        <w:tc>
          <w:tcPr>
            <w:tcW w:w="787" w:type="dxa"/>
          </w:tcPr>
          <w:p w:rsidR="0083491E" w:rsidRPr="00996A79" w:rsidRDefault="0083491E" w:rsidP="0083491E">
            <w:pPr>
              <w:rPr>
                <w:rFonts w:eastAsia="Times New Roman"/>
              </w:rPr>
            </w:pPr>
          </w:p>
        </w:tc>
        <w:tc>
          <w:tcPr>
            <w:tcW w:w="1044" w:type="dxa"/>
          </w:tcPr>
          <w:p w:rsidR="0083491E" w:rsidRPr="00996A79" w:rsidRDefault="0083491E" w:rsidP="0083491E">
            <w:pPr>
              <w:rPr>
                <w:rFonts w:eastAsia="Times New Roman"/>
              </w:rPr>
            </w:pPr>
          </w:p>
        </w:tc>
      </w:tr>
      <w:tr w:rsidR="0083491E" w:rsidRPr="00996A79" w:rsidTr="0083491E">
        <w:trPr>
          <w:jc w:val="center"/>
        </w:trPr>
        <w:tc>
          <w:tcPr>
            <w:tcW w:w="2173" w:type="dxa"/>
          </w:tcPr>
          <w:p w:rsidR="0083491E" w:rsidRPr="00996A79" w:rsidRDefault="0083491E" w:rsidP="0083491E">
            <w:r w:rsidRPr="00996A79">
              <w:t>Flood/Standing water</w:t>
            </w:r>
          </w:p>
        </w:tc>
        <w:tc>
          <w:tcPr>
            <w:tcW w:w="1990" w:type="dxa"/>
          </w:tcPr>
          <w:p w:rsidR="0083491E" w:rsidRPr="00996A79" w:rsidRDefault="0083491E" w:rsidP="0083491E">
            <w:pPr>
              <w:rPr>
                <w:rFonts w:eastAsia="Times New Roman"/>
              </w:rPr>
            </w:pPr>
            <w:r w:rsidRPr="00996A79">
              <w:rPr>
                <w:rFonts w:eastAsia="Times New Roman"/>
              </w:rPr>
              <w:t>Detection</w:t>
            </w:r>
          </w:p>
        </w:tc>
        <w:tc>
          <w:tcPr>
            <w:tcW w:w="806" w:type="dxa"/>
          </w:tcPr>
          <w:p w:rsidR="0083491E" w:rsidRPr="00996A79" w:rsidRDefault="0083491E" w:rsidP="0083491E">
            <w:pPr>
              <w:rPr>
                <w:rFonts w:eastAsia="Times New Roman"/>
              </w:rPr>
            </w:pPr>
            <w:r w:rsidRPr="00996A79">
              <w:rPr>
                <w:rFonts w:eastAsia="Times New Roman"/>
              </w:rPr>
              <w:t>F</w:t>
            </w:r>
          </w:p>
        </w:tc>
        <w:tc>
          <w:tcPr>
            <w:tcW w:w="816" w:type="dxa"/>
          </w:tcPr>
          <w:p w:rsidR="0083491E" w:rsidRPr="00996A79" w:rsidRDefault="0083491E" w:rsidP="0083491E">
            <w:pPr>
              <w:rPr>
                <w:rFonts w:eastAsia="Times New Roman"/>
              </w:rPr>
            </w:pPr>
          </w:p>
        </w:tc>
        <w:tc>
          <w:tcPr>
            <w:tcW w:w="814" w:type="dxa"/>
          </w:tcPr>
          <w:p w:rsidR="0083491E" w:rsidRPr="00996A79" w:rsidRDefault="0083491E" w:rsidP="0083491E">
            <w:pPr>
              <w:rPr>
                <w:rFonts w:eastAsia="Times New Roman"/>
              </w:rPr>
            </w:pPr>
          </w:p>
        </w:tc>
        <w:tc>
          <w:tcPr>
            <w:tcW w:w="812" w:type="dxa"/>
          </w:tcPr>
          <w:p w:rsidR="0083491E" w:rsidRPr="00996A79" w:rsidRDefault="0083491E" w:rsidP="0083491E">
            <w:pPr>
              <w:rPr>
                <w:rFonts w:eastAsia="Times New Roman"/>
              </w:rPr>
            </w:pPr>
          </w:p>
        </w:tc>
        <w:tc>
          <w:tcPr>
            <w:tcW w:w="787" w:type="dxa"/>
          </w:tcPr>
          <w:p w:rsidR="0083491E" w:rsidRPr="00996A79" w:rsidRDefault="0083491E" w:rsidP="0083491E">
            <w:pPr>
              <w:rPr>
                <w:rFonts w:eastAsia="Times New Roman"/>
              </w:rPr>
            </w:pPr>
          </w:p>
        </w:tc>
        <w:tc>
          <w:tcPr>
            <w:tcW w:w="1044" w:type="dxa"/>
          </w:tcPr>
          <w:p w:rsidR="0083491E" w:rsidRPr="00996A79" w:rsidRDefault="0083491E" w:rsidP="0083491E">
            <w:pPr>
              <w:rPr>
                <w:rFonts w:eastAsia="Times New Roman"/>
              </w:rPr>
            </w:pPr>
          </w:p>
        </w:tc>
      </w:tr>
      <w:tr w:rsidR="0083491E" w:rsidRPr="00996A79" w:rsidTr="0083491E">
        <w:trPr>
          <w:jc w:val="center"/>
        </w:trPr>
        <w:tc>
          <w:tcPr>
            <w:tcW w:w="2173" w:type="dxa"/>
          </w:tcPr>
          <w:p w:rsidR="0083491E" w:rsidRPr="00996A79" w:rsidRDefault="0083491E" w:rsidP="0083491E">
            <w:r w:rsidRPr="00996A79">
              <w:t>Vegetation</w:t>
            </w:r>
          </w:p>
        </w:tc>
        <w:tc>
          <w:tcPr>
            <w:tcW w:w="1990" w:type="dxa"/>
          </w:tcPr>
          <w:p w:rsidR="0083491E" w:rsidRPr="00996A79" w:rsidRDefault="0083491E" w:rsidP="0083491E">
            <w:pPr>
              <w:rPr>
                <w:rFonts w:eastAsia="Times New Roman"/>
              </w:rPr>
            </w:pPr>
            <w:r w:rsidRPr="00996A79">
              <w:rPr>
                <w:rFonts w:eastAsia="Times New Roman"/>
              </w:rPr>
              <w:t>Green Fraction</w:t>
            </w:r>
          </w:p>
        </w:tc>
        <w:tc>
          <w:tcPr>
            <w:tcW w:w="806" w:type="dxa"/>
          </w:tcPr>
          <w:p w:rsidR="0083491E" w:rsidRPr="00996A79" w:rsidRDefault="0083491E" w:rsidP="0083491E">
            <w:pPr>
              <w:rPr>
                <w:rFonts w:eastAsia="Times New Roman"/>
              </w:rPr>
            </w:pPr>
            <w:r w:rsidRPr="00996A79">
              <w:rPr>
                <w:rFonts w:eastAsia="Times New Roman"/>
              </w:rPr>
              <w:t>F</w:t>
            </w:r>
          </w:p>
        </w:tc>
        <w:tc>
          <w:tcPr>
            <w:tcW w:w="816" w:type="dxa"/>
          </w:tcPr>
          <w:p w:rsidR="0083491E" w:rsidRPr="00996A79" w:rsidRDefault="0083491E" w:rsidP="0083491E">
            <w:pPr>
              <w:rPr>
                <w:rFonts w:eastAsia="Times New Roman"/>
              </w:rPr>
            </w:pPr>
          </w:p>
        </w:tc>
        <w:tc>
          <w:tcPr>
            <w:tcW w:w="814" w:type="dxa"/>
          </w:tcPr>
          <w:p w:rsidR="0083491E" w:rsidRPr="00996A79" w:rsidRDefault="00F37B38" w:rsidP="0083491E">
            <w:pPr>
              <w:rPr>
                <w:rFonts w:eastAsia="Times New Roman"/>
              </w:rPr>
            </w:pPr>
            <w:r>
              <w:rPr>
                <w:rFonts w:eastAsia="Times New Roman"/>
              </w:rPr>
              <w:t>F</w:t>
            </w:r>
          </w:p>
        </w:tc>
        <w:tc>
          <w:tcPr>
            <w:tcW w:w="812" w:type="dxa"/>
          </w:tcPr>
          <w:p w:rsidR="0083491E" w:rsidRPr="00996A79" w:rsidRDefault="0083491E" w:rsidP="0083491E">
            <w:pPr>
              <w:rPr>
                <w:rFonts w:eastAsia="Times New Roman"/>
              </w:rPr>
            </w:pPr>
          </w:p>
        </w:tc>
        <w:tc>
          <w:tcPr>
            <w:tcW w:w="787" w:type="dxa"/>
          </w:tcPr>
          <w:p w:rsidR="0083491E" w:rsidRPr="00996A79" w:rsidRDefault="0083491E" w:rsidP="0083491E">
            <w:pPr>
              <w:rPr>
                <w:rFonts w:eastAsia="Times New Roman"/>
              </w:rPr>
            </w:pPr>
          </w:p>
        </w:tc>
        <w:tc>
          <w:tcPr>
            <w:tcW w:w="1044" w:type="dxa"/>
          </w:tcPr>
          <w:p w:rsidR="0083491E" w:rsidRPr="00996A79" w:rsidRDefault="0083491E" w:rsidP="0083491E">
            <w:pPr>
              <w:rPr>
                <w:rFonts w:eastAsia="Times New Roman"/>
              </w:rPr>
            </w:pPr>
          </w:p>
        </w:tc>
      </w:tr>
      <w:tr w:rsidR="0083491E" w:rsidRPr="00996A79" w:rsidTr="0083491E">
        <w:trPr>
          <w:jc w:val="center"/>
        </w:trPr>
        <w:tc>
          <w:tcPr>
            <w:tcW w:w="2173" w:type="dxa"/>
          </w:tcPr>
          <w:p w:rsidR="0083491E" w:rsidRPr="00996A79" w:rsidRDefault="0083491E" w:rsidP="0083491E"/>
        </w:tc>
        <w:tc>
          <w:tcPr>
            <w:tcW w:w="1990" w:type="dxa"/>
          </w:tcPr>
          <w:p w:rsidR="0083491E" w:rsidRPr="00996A79" w:rsidRDefault="0083491E" w:rsidP="0083491E">
            <w:pPr>
              <w:rPr>
                <w:rFonts w:eastAsia="Times New Roman"/>
              </w:rPr>
            </w:pPr>
            <w:r w:rsidRPr="00996A79">
              <w:rPr>
                <w:rFonts w:eastAsia="Times New Roman"/>
              </w:rPr>
              <w:t>Index</w:t>
            </w:r>
          </w:p>
        </w:tc>
        <w:tc>
          <w:tcPr>
            <w:tcW w:w="806" w:type="dxa"/>
          </w:tcPr>
          <w:p w:rsidR="0083491E" w:rsidRPr="00996A79" w:rsidRDefault="0083491E" w:rsidP="0083491E">
            <w:pPr>
              <w:rPr>
                <w:rFonts w:eastAsia="Times New Roman"/>
              </w:rPr>
            </w:pPr>
            <w:r w:rsidRPr="00996A79">
              <w:rPr>
                <w:rFonts w:eastAsia="Times New Roman"/>
              </w:rPr>
              <w:t>F</w:t>
            </w:r>
          </w:p>
        </w:tc>
        <w:tc>
          <w:tcPr>
            <w:tcW w:w="816" w:type="dxa"/>
          </w:tcPr>
          <w:p w:rsidR="0083491E" w:rsidRPr="00996A79" w:rsidRDefault="0083491E" w:rsidP="0083491E">
            <w:pPr>
              <w:rPr>
                <w:rFonts w:eastAsia="Times New Roman"/>
              </w:rPr>
            </w:pPr>
            <w:r w:rsidRPr="00996A79">
              <w:rPr>
                <w:rFonts w:eastAsia="Times New Roman"/>
              </w:rPr>
              <w:t>F</w:t>
            </w:r>
          </w:p>
        </w:tc>
        <w:tc>
          <w:tcPr>
            <w:tcW w:w="814" w:type="dxa"/>
          </w:tcPr>
          <w:p w:rsidR="0083491E" w:rsidRPr="00996A79" w:rsidRDefault="00F37B38" w:rsidP="0083491E">
            <w:pPr>
              <w:rPr>
                <w:rFonts w:eastAsia="Times New Roman"/>
              </w:rPr>
            </w:pPr>
            <w:r>
              <w:rPr>
                <w:rFonts w:eastAsia="Times New Roman"/>
              </w:rPr>
              <w:t>F</w:t>
            </w:r>
          </w:p>
        </w:tc>
        <w:tc>
          <w:tcPr>
            <w:tcW w:w="812" w:type="dxa"/>
          </w:tcPr>
          <w:p w:rsidR="0083491E" w:rsidRPr="00996A79" w:rsidRDefault="0083491E" w:rsidP="0083491E">
            <w:pPr>
              <w:rPr>
                <w:rFonts w:eastAsia="Times New Roman"/>
              </w:rPr>
            </w:pPr>
          </w:p>
        </w:tc>
        <w:tc>
          <w:tcPr>
            <w:tcW w:w="787" w:type="dxa"/>
          </w:tcPr>
          <w:p w:rsidR="0083491E" w:rsidRPr="00996A79" w:rsidRDefault="0083491E" w:rsidP="0083491E">
            <w:pPr>
              <w:rPr>
                <w:rFonts w:eastAsia="Times New Roman"/>
              </w:rPr>
            </w:pPr>
          </w:p>
        </w:tc>
        <w:tc>
          <w:tcPr>
            <w:tcW w:w="1044" w:type="dxa"/>
          </w:tcPr>
          <w:p w:rsidR="0083491E" w:rsidRPr="00996A79" w:rsidRDefault="0083491E" w:rsidP="0083491E">
            <w:pPr>
              <w:rPr>
                <w:rFonts w:eastAsia="Times New Roman"/>
              </w:rPr>
            </w:pPr>
          </w:p>
        </w:tc>
      </w:tr>
      <w:tr w:rsidR="0083491E" w:rsidRPr="00996A79" w:rsidTr="0083491E">
        <w:trPr>
          <w:jc w:val="center"/>
        </w:trPr>
        <w:tc>
          <w:tcPr>
            <w:tcW w:w="2173" w:type="dxa"/>
          </w:tcPr>
          <w:p w:rsidR="0083491E" w:rsidRPr="00996A79" w:rsidRDefault="0083491E" w:rsidP="0083491E">
            <w:r w:rsidRPr="00996A79">
              <w:t>Drought (</w:t>
            </w:r>
            <w:r w:rsidRPr="00996A79">
              <w:rPr>
                <w:lang w:val="en-GB"/>
              </w:rPr>
              <w:t>evapotranspiration)</w:t>
            </w:r>
          </w:p>
        </w:tc>
        <w:tc>
          <w:tcPr>
            <w:tcW w:w="1990" w:type="dxa"/>
          </w:tcPr>
          <w:p w:rsidR="0083491E" w:rsidRPr="00996A79" w:rsidRDefault="0083491E" w:rsidP="0083491E">
            <w:pPr>
              <w:rPr>
                <w:rFonts w:eastAsia="Times New Roman"/>
              </w:rPr>
            </w:pPr>
            <w:r w:rsidRPr="00996A79">
              <w:rPr>
                <w:rFonts w:eastAsia="Times New Roman"/>
              </w:rPr>
              <w:t>Detection</w:t>
            </w:r>
          </w:p>
        </w:tc>
        <w:tc>
          <w:tcPr>
            <w:tcW w:w="806" w:type="dxa"/>
          </w:tcPr>
          <w:p w:rsidR="0083491E" w:rsidRPr="00996A79" w:rsidRDefault="0083491E" w:rsidP="0083491E">
            <w:pPr>
              <w:rPr>
                <w:rFonts w:eastAsia="Times New Roman"/>
              </w:rPr>
            </w:pPr>
          </w:p>
        </w:tc>
        <w:tc>
          <w:tcPr>
            <w:tcW w:w="816" w:type="dxa"/>
          </w:tcPr>
          <w:p w:rsidR="0083491E" w:rsidRPr="00996A79" w:rsidRDefault="0083491E" w:rsidP="0083491E">
            <w:pPr>
              <w:rPr>
                <w:rFonts w:eastAsia="Times New Roman"/>
              </w:rPr>
            </w:pPr>
          </w:p>
        </w:tc>
        <w:tc>
          <w:tcPr>
            <w:tcW w:w="814" w:type="dxa"/>
          </w:tcPr>
          <w:p w:rsidR="0083491E" w:rsidRPr="00996A79" w:rsidRDefault="0083491E" w:rsidP="0083491E">
            <w:pPr>
              <w:rPr>
                <w:rFonts w:eastAsia="Times New Roman"/>
              </w:rPr>
            </w:pPr>
          </w:p>
        </w:tc>
        <w:tc>
          <w:tcPr>
            <w:tcW w:w="812" w:type="dxa"/>
          </w:tcPr>
          <w:p w:rsidR="0083491E" w:rsidRPr="00996A79" w:rsidRDefault="0083491E" w:rsidP="0083491E">
            <w:pPr>
              <w:rPr>
                <w:rFonts w:eastAsia="Times New Roman"/>
              </w:rPr>
            </w:pPr>
            <w:r w:rsidRPr="00996A79">
              <w:rPr>
                <w:rFonts w:eastAsia="Times New Roman"/>
              </w:rPr>
              <w:t>B</w:t>
            </w:r>
          </w:p>
        </w:tc>
        <w:tc>
          <w:tcPr>
            <w:tcW w:w="787" w:type="dxa"/>
          </w:tcPr>
          <w:p w:rsidR="0083491E" w:rsidRPr="00996A79" w:rsidRDefault="0083491E" w:rsidP="0083491E">
            <w:pPr>
              <w:rPr>
                <w:rFonts w:eastAsia="Times New Roman"/>
              </w:rPr>
            </w:pPr>
          </w:p>
        </w:tc>
        <w:tc>
          <w:tcPr>
            <w:tcW w:w="1044" w:type="dxa"/>
          </w:tcPr>
          <w:p w:rsidR="0083491E" w:rsidRPr="00996A79" w:rsidRDefault="0083491E" w:rsidP="0083491E">
            <w:pPr>
              <w:rPr>
                <w:rFonts w:eastAsia="Times New Roman"/>
              </w:rPr>
            </w:pPr>
          </w:p>
        </w:tc>
      </w:tr>
      <w:tr w:rsidR="0083491E" w:rsidRPr="00996A79" w:rsidTr="0083491E">
        <w:trPr>
          <w:jc w:val="center"/>
        </w:trPr>
        <w:tc>
          <w:tcPr>
            <w:tcW w:w="2173" w:type="dxa"/>
          </w:tcPr>
          <w:p w:rsidR="0083491E" w:rsidRPr="00996A79" w:rsidRDefault="0083491E" w:rsidP="0083491E"/>
        </w:tc>
        <w:tc>
          <w:tcPr>
            <w:tcW w:w="1990" w:type="dxa"/>
          </w:tcPr>
          <w:p w:rsidR="0083491E" w:rsidRPr="00996A79" w:rsidRDefault="0083491E" w:rsidP="0083491E">
            <w:pPr>
              <w:rPr>
                <w:rFonts w:eastAsia="Times New Roman"/>
              </w:rPr>
            </w:pPr>
            <w:r w:rsidRPr="00996A79">
              <w:rPr>
                <w:rFonts w:eastAsia="Times New Roman"/>
              </w:rPr>
              <w:t>Vegetation Health Index</w:t>
            </w:r>
          </w:p>
        </w:tc>
        <w:tc>
          <w:tcPr>
            <w:tcW w:w="806" w:type="dxa"/>
          </w:tcPr>
          <w:p w:rsidR="0083491E" w:rsidRPr="00996A79" w:rsidRDefault="0083491E" w:rsidP="0083491E">
            <w:pPr>
              <w:rPr>
                <w:rFonts w:eastAsia="Times New Roman"/>
              </w:rPr>
            </w:pPr>
          </w:p>
        </w:tc>
        <w:tc>
          <w:tcPr>
            <w:tcW w:w="816" w:type="dxa"/>
          </w:tcPr>
          <w:p w:rsidR="0083491E" w:rsidRPr="00996A79" w:rsidRDefault="0083491E" w:rsidP="0083491E">
            <w:pPr>
              <w:rPr>
                <w:rFonts w:eastAsia="Times New Roman"/>
              </w:rPr>
            </w:pPr>
          </w:p>
        </w:tc>
        <w:tc>
          <w:tcPr>
            <w:tcW w:w="814" w:type="dxa"/>
          </w:tcPr>
          <w:p w:rsidR="0083491E" w:rsidRPr="00996A79" w:rsidRDefault="0083491E" w:rsidP="0083491E">
            <w:pPr>
              <w:rPr>
                <w:rFonts w:eastAsia="Times New Roman"/>
              </w:rPr>
            </w:pPr>
            <w:r w:rsidRPr="00996A79">
              <w:rPr>
                <w:rFonts w:eastAsia="Times New Roman"/>
              </w:rPr>
              <w:t>F</w:t>
            </w:r>
          </w:p>
        </w:tc>
        <w:tc>
          <w:tcPr>
            <w:tcW w:w="812" w:type="dxa"/>
          </w:tcPr>
          <w:p w:rsidR="0083491E" w:rsidRPr="00996A79" w:rsidRDefault="0083491E" w:rsidP="0083491E">
            <w:pPr>
              <w:rPr>
                <w:rFonts w:eastAsia="Times New Roman"/>
              </w:rPr>
            </w:pPr>
          </w:p>
        </w:tc>
        <w:tc>
          <w:tcPr>
            <w:tcW w:w="787" w:type="dxa"/>
          </w:tcPr>
          <w:p w:rsidR="0083491E" w:rsidRPr="00996A79" w:rsidRDefault="0083491E" w:rsidP="0083491E">
            <w:pPr>
              <w:rPr>
                <w:rFonts w:eastAsia="Times New Roman"/>
              </w:rPr>
            </w:pPr>
          </w:p>
        </w:tc>
        <w:tc>
          <w:tcPr>
            <w:tcW w:w="1044" w:type="dxa"/>
          </w:tcPr>
          <w:p w:rsidR="0083491E" w:rsidRPr="00996A79" w:rsidRDefault="0083491E" w:rsidP="0083491E">
            <w:pPr>
              <w:rPr>
                <w:rFonts w:eastAsia="Times New Roman"/>
              </w:rPr>
            </w:pPr>
          </w:p>
        </w:tc>
      </w:tr>
      <w:tr w:rsidR="0083491E" w:rsidRPr="00996A79" w:rsidTr="0083491E">
        <w:trPr>
          <w:jc w:val="center"/>
        </w:trPr>
        <w:tc>
          <w:tcPr>
            <w:tcW w:w="2173" w:type="dxa"/>
          </w:tcPr>
          <w:p w:rsidR="0083491E" w:rsidRPr="00996A79" w:rsidRDefault="0083491E" w:rsidP="0083491E">
            <w:pPr>
              <w:rPr>
                <w:rFonts w:eastAsia="Times New Roman"/>
              </w:rPr>
            </w:pPr>
            <w:r w:rsidRPr="00996A79">
              <w:rPr>
                <w:rFonts w:eastAsia="Times New Roman"/>
              </w:rPr>
              <w:t>Albedo</w:t>
            </w:r>
          </w:p>
        </w:tc>
        <w:tc>
          <w:tcPr>
            <w:tcW w:w="1990" w:type="dxa"/>
          </w:tcPr>
          <w:p w:rsidR="0083491E" w:rsidRPr="00996A79" w:rsidRDefault="00F37B38" w:rsidP="0083491E">
            <w:pPr>
              <w:rPr>
                <w:rFonts w:eastAsia="Times New Roman"/>
              </w:rPr>
            </w:pPr>
            <w:r>
              <w:rPr>
                <w:rFonts w:eastAsia="Times New Roman"/>
              </w:rPr>
              <w:t>Reflectance</w:t>
            </w:r>
          </w:p>
        </w:tc>
        <w:tc>
          <w:tcPr>
            <w:tcW w:w="806" w:type="dxa"/>
          </w:tcPr>
          <w:p w:rsidR="0083491E" w:rsidRPr="00996A79" w:rsidRDefault="0083491E" w:rsidP="0083491E">
            <w:pPr>
              <w:rPr>
                <w:rFonts w:eastAsia="Times New Roman"/>
              </w:rPr>
            </w:pPr>
          </w:p>
        </w:tc>
        <w:tc>
          <w:tcPr>
            <w:tcW w:w="816" w:type="dxa"/>
          </w:tcPr>
          <w:p w:rsidR="0083491E" w:rsidRPr="00996A79" w:rsidRDefault="0083491E" w:rsidP="0083491E">
            <w:pPr>
              <w:rPr>
                <w:rFonts w:eastAsia="Times New Roman"/>
              </w:rPr>
            </w:pPr>
          </w:p>
        </w:tc>
        <w:tc>
          <w:tcPr>
            <w:tcW w:w="814" w:type="dxa"/>
          </w:tcPr>
          <w:p w:rsidR="0083491E" w:rsidRPr="00996A79" w:rsidRDefault="0083491E" w:rsidP="0083491E">
            <w:pPr>
              <w:rPr>
                <w:rFonts w:eastAsia="Times New Roman"/>
              </w:rPr>
            </w:pPr>
            <w:r w:rsidRPr="00996A79">
              <w:rPr>
                <w:rFonts w:eastAsia="Times New Roman"/>
              </w:rPr>
              <w:t>B</w:t>
            </w:r>
          </w:p>
        </w:tc>
        <w:tc>
          <w:tcPr>
            <w:tcW w:w="812" w:type="dxa"/>
          </w:tcPr>
          <w:p w:rsidR="0083491E" w:rsidRPr="00996A79" w:rsidRDefault="0083491E" w:rsidP="0083491E">
            <w:pPr>
              <w:rPr>
                <w:rFonts w:eastAsia="Times New Roman"/>
              </w:rPr>
            </w:pPr>
          </w:p>
        </w:tc>
        <w:tc>
          <w:tcPr>
            <w:tcW w:w="787" w:type="dxa"/>
          </w:tcPr>
          <w:p w:rsidR="0083491E" w:rsidRPr="00996A79" w:rsidRDefault="0083491E" w:rsidP="0083491E">
            <w:pPr>
              <w:rPr>
                <w:rFonts w:eastAsia="Times New Roman"/>
              </w:rPr>
            </w:pPr>
          </w:p>
        </w:tc>
        <w:tc>
          <w:tcPr>
            <w:tcW w:w="1044" w:type="dxa"/>
          </w:tcPr>
          <w:p w:rsidR="0083491E" w:rsidRPr="00996A79" w:rsidRDefault="0083491E" w:rsidP="0083491E">
            <w:pPr>
              <w:rPr>
                <w:rFonts w:eastAsia="Times New Roman"/>
              </w:rPr>
            </w:pPr>
          </w:p>
        </w:tc>
      </w:tr>
      <w:tr w:rsidR="00F37B38" w:rsidRPr="00996A79" w:rsidTr="0083491E">
        <w:trPr>
          <w:jc w:val="center"/>
        </w:trPr>
        <w:tc>
          <w:tcPr>
            <w:tcW w:w="2173" w:type="dxa"/>
          </w:tcPr>
          <w:p w:rsidR="00F37B38" w:rsidRPr="00996A79" w:rsidRDefault="00F37B38" w:rsidP="0083491E">
            <w:pPr>
              <w:rPr>
                <w:rFonts w:eastAsia="Times New Roman"/>
              </w:rPr>
            </w:pPr>
            <w:r>
              <w:rPr>
                <w:rFonts w:eastAsia="Times New Roman"/>
              </w:rPr>
              <w:t>Incident Solar Radiation</w:t>
            </w:r>
          </w:p>
        </w:tc>
        <w:tc>
          <w:tcPr>
            <w:tcW w:w="1990" w:type="dxa"/>
          </w:tcPr>
          <w:p w:rsidR="00F37B38" w:rsidRPr="00996A79" w:rsidDel="00F37B38" w:rsidRDefault="00F37B38" w:rsidP="0083491E">
            <w:pPr>
              <w:rPr>
                <w:rFonts w:eastAsia="Times New Roman"/>
              </w:rPr>
            </w:pPr>
            <w:r>
              <w:rPr>
                <w:rFonts w:eastAsia="Times New Roman"/>
              </w:rPr>
              <w:t>Downward Shortwave Radiation</w:t>
            </w:r>
          </w:p>
        </w:tc>
        <w:tc>
          <w:tcPr>
            <w:tcW w:w="806" w:type="dxa"/>
          </w:tcPr>
          <w:p w:rsidR="00F37B38" w:rsidRPr="00996A79" w:rsidRDefault="00F37B38" w:rsidP="0083491E">
            <w:pPr>
              <w:rPr>
                <w:rFonts w:eastAsia="Times New Roman"/>
              </w:rPr>
            </w:pPr>
            <w:r>
              <w:rPr>
                <w:rFonts w:eastAsia="Times New Roman"/>
              </w:rPr>
              <w:t>B</w:t>
            </w:r>
          </w:p>
        </w:tc>
        <w:tc>
          <w:tcPr>
            <w:tcW w:w="816" w:type="dxa"/>
          </w:tcPr>
          <w:p w:rsidR="00F37B38" w:rsidRPr="00996A79" w:rsidRDefault="00F37B38" w:rsidP="0083491E">
            <w:pPr>
              <w:rPr>
                <w:rFonts w:eastAsia="Times New Roman"/>
              </w:rPr>
            </w:pPr>
            <w:r>
              <w:rPr>
                <w:rFonts w:eastAsia="Times New Roman"/>
              </w:rPr>
              <w:t>F</w:t>
            </w:r>
          </w:p>
        </w:tc>
        <w:tc>
          <w:tcPr>
            <w:tcW w:w="814" w:type="dxa"/>
          </w:tcPr>
          <w:p w:rsidR="00F37B38" w:rsidRPr="00996A79" w:rsidRDefault="00F37B38" w:rsidP="0083491E">
            <w:pPr>
              <w:rPr>
                <w:rFonts w:eastAsia="Times New Roman"/>
              </w:rPr>
            </w:pPr>
            <w:r>
              <w:rPr>
                <w:rFonts w:eastAsia="Times New Roman"/>
              </w:rPr>
              <w:t>F</w:t>
            </w:r>
          </w:p>
        </w:tc>
        <w:tc>
          <w:tcPr>
            <w:tcW w:w="812" w:type="dxa"/>
          </w:tcPr>
          <w:p w:rsidR="00F37B38" w:rsidRPr="00996A79" w:rsidRDefault="00F37B38" w:rsidP="0083491E">
            <w:pPr>
              <w:rPr>
                <w:rFonts w:eastAsia="Times New Roman"/>
              </w:rPr>
            </w:pPr>
          </w:p>
        </w:tc>
        <w:tc>
          <w:tcPr>
            <w:tcW w:w="787" w:type="dxa"/>
          </w:tcPr>
          <w:p w:rsidR="00F37B38" w:rsidRPr="00996A79" w:rsidRDefault="00F37B38" w:rsidP="0083491E">
            <w:pPr>
              <w:rPr>
                <w:rFonts w:eastAsia="Times New Roman"/>
              </w:rPr>
            </w:pPr>
            <w:r>
              <w:rPr>
                <w:rFonts w:eastAsia="Times New Roman"/>
              </w:rPr>
              <w:t>B</w:t>
            </w:r>
          </w:p>
        </w:tc>
        <w:tc>
          <w:tcPr>
            <w:tcW w:w="1044" w:type="dxa"/>
          </w:tcPr>
          <w:p w:rsidR="00F37B38" w:rsidRPr="00996A79" w:rsidRDefault="00F37B38" w:rsidP="0083491E">
            <w:pPr>
              <w:rPr>
                <w:rFonts w:eastAsia="Times New Roman"/>
              </w:rPr>
            </w:pPr>
            <w:r>
              <w:rPr>
                <w:rFonts w:eastAsia="Times New Roman"/>
              </w:rPr>
              <w:t>B</w:t>
            </w:r>
          </w:p>
        </w:tc>
      </w:tr>
    </w:tbl>
    <w:p w:rsidR="00B42530" w:rsidRDefault="00B42530" w:rsidP="00747E63"/>
    <w:p w:rsidR="00B42530" w:rsidRDefault="0083491E" w:rsidP="00747E63">
      <w:r w:rsidRPr="00996A79">
        <w:t xml:space="preserve">Most of the products and parameters in </w:t>
      </w:r>
      <w:r w:rsidR="00E27A82">
        <w:fldChar w:fldCharType="begin"/>
      </w:r>
      <w:r>
        <w:instrText xml:space="preserve"> REF _Ref459137759 \h </w:instrText>
      </w:r>
      <w:r w:rsidR="00E27A82">
        <w:fldChar w:fldCharType="separate"/>
      </w:r>
      <w:r w:rsidR="00ED66C2">
        <w:t xml:space="preserve">Table </w:t>
      </w:r>
      <w:r w:rsidR="00ED66C2">
        <w:rPr>
          <w:noProof/>
        </w:rPr>
        <w:t>7</w:t>
      </w:r>
      <w:r w:rsidR="00E27A82">
        <w:fldChar w:fldCharType="end"/>
      </w:r>
      <w:r>
        <w:t xml:space="preserve"> </w:t>
      </w:r>
      <w:r w:rsidRPr="00996A79">
        <w:t>are derived for every repeat cycle and full resolution in Near-Real Time.</w:t>
      </w:r>
    </w:p>
    <w:p w:rsidR="00884762" w:rsidRPr="00996A79" w:rsidRDefault="00884762" w:rsidP="00884762">
      <w:pPr>
        <w:pStyle w:val="Heading3"/>
      </w:pPr>
      <w:r w:rsidRPr="00996A79">
        <w:t>Fire</w:t>
      </w:r>
    </w:p>
    <w:p w:rsidR="00884762" w:rsidRPr="00884762" w:rsidRDefault="00884762" w:rsidP="00884762">
      <w:r w:rsidRPr="00996A79">
        <w:t xml:space="preserve">Fires are an indication of deforestation and of land use practices that affect both the land </w:t>
      </w:r>
      <w:r w:rsidRPr="00884762">
        <w:t>p</w:t>
      </w:r>
      <w:r w:rsidRPr="00996A79">
        <w:t xml:space="preserve">roductivity and the atmospheric composition. Most fires are man-made, occur in the tropics, are rather small, and have a duration of up to a few hours. Fires of woody material (e.g. in deforestation) are of a longer duration and fires of grasslands and agricultural waste are of a shorter duration. Wild fires in the mid latitudes and northern regions (e.g. USA and Canada, Russia, Australia) are of major ecological and environmental importance. They are also a threat to populated regions directly as fire hazard or indirectly through the emission of polluting smoke. </w:t>
      </w:r>
    </w:p>
    <w:p w:rsidR="00884762" w:rsidRPr="00884762" w:rsidRDefault="00884762" w:rsidP="00884762">
      <w:r w:rsidRPr="00996A79">
        <w:rPr>
          <w:lang w:val="en-GB" w:eastAsia="en-GB"/>
        </w:rPr>
        <w:t xml:space="preserve">Forest and wild fires are an important component of the savanna, tundra and boreal forest ecosystems. The increasing rate of the occurrence of fires however has increased the concern over their impacts on climate change and fragile ecosystems. This requires efficient and effective methods in forest fire detection for near real-time monitoring so as to minimize these impacts. Remote sensing has been widely used in active forest fire detection. </w:t>
      </w:r>
      <w:r w:rsidRPr="00996A79">
        <w:t>Fire detection has for a long time been performed with polar orbiting data as they have provided imagery information with a 3.8/3.9 micron channel and with sufficient resolution. However, due to the nature of the fires, their significant diurnal cycle trigger</w:t>
      </w:r>
      <w:r>
        <w:t>ed</w:t>
      </w:r>
      <w:r w:rsidRPr="00996A79">
        <w:t xml:space="preserve"> by agricultural practices, polar orbiting satellites only capture a fraction of the fires. Whilst products like fire radiative power (FRP)</w:t>
      </w:r>
      <w:r w:rsidRPr="00996A79">
        <w:rPr>
          <w:lang w:val="en-GB"/>
        </w:rPr>
        <w:t>is approximately proportional to the biomass combustion rate and thus the smoke emission rate</w:t>
      </w:r>
      <w:r w:rsidRPr="00996A79">
        <w:t>, supplementing this information with the geosynchronous data capturing the diurnal cycle, even if with a lower spatial resolution, is very important. Geosynchronous satellites have the capability to provide quasi continuous (e.g.</w:t>
      </w:r>
      <w:r>
        <w:t xml:space="preserve"> every 15 minutes) observations. </w:t>
      </w:r>
      <w:r w:rsidRPr="00996A79">
        <w:t xml:space="preserve">They therefore supplement the information from polar orbiting satellites by detecting and monitoring the diurnal cycle of the more energetic fire. </w:t>
      </w:r>
      <w:r>
        <w:t>Furthermore the high temporal coverage provides the potential for early detection of strong fire events.</w:t>
      </w:r>
    </w:p>
    <w:p w:rsidR="00BC7D2F" w:rsidRDefault="00884762" w:rsidP="00747E63">
      <w:pPr>
        <w:rPr>
          <w:lang w:val="en-GB"/>
        </w:rPr>
      </w:pPr>
      <w:r w:rsidRPr="00996A79">
        <w:rPr>
          <w:lang w:val="en-GB"/>
        </w:rPr>
        <w:t xml:space="preserve">Monitoring and forecasting of the atmospheric composition in atmospheric environmental services, like in the </w:t>
      </w:r>
      <w:r>
        <w:rPr>
          <w:lang w:val="en-GB"/>
        </w:rPr>
        <w:t xml:space="preserve">European </w:t>
      </w:r>
      <w:r w:rsidRPr="00996A79">
        <w:rPr>
          <w:lang w:val="en-GB"/>
        </w:rPr>
        <w:t xml:space="preserve">Copernicus Atmospheric Monitoring Services require boundary condition estimates of the smoke flux to the atmosphere due to biomass burning. This can be done using </w:t>
      </w:r>
      <w:r>
        <w:rPr>
          <w:lang w:val="en-GB"/>
        </w:rPr>
        <w:t>fire radiative power (</w:t>
      </w:r>
      <w:r w:rsidRPr="00996A79">
        <w:rPr>
          <w:lang w:val="en-GB"/>
        </w:rPr>
        <w:t>FRP</w:t>
      </w:r>
      <w:r>
        <w:rPr>
          <w:lang w:val="en-GB"/>
        </w:rPr>
        <w:t>)</w:t>
      </w:r>
      <w:r w:rsidRPr="00996A79">
        <w:rPr>
          <w:lang w:val="en-GB"/>
        </w:rPr>
        <w:t xml:space="preserve">as done e.g. in </w:t>
      </w:r>
      <w:r>
        <w:rPr>
          <w:lang w:val="en-GB"/>
        </w:rPr>
        <w:t>by</w:t>
      </w:r>
      <w:r w:rsidRPr="00996A79">
        <w:rPr>
          <w:lang w:val="en-GB"/>
        </w:rPr>
        <w:t xml:space="preserve"> the EUMETSAT Land SAF </w:t>
      </w:r>
      <w:r>
        <w:rPr>
          <w:lang w:val="en-GB"/>
        </w:rPr>
        <w:t xml:space="preserve">using </w:t>
      </w:r>
      <w:r w:rsidRPr="00996A79">
        <w:rPr>
          <w:lang w:val="en-GB"/>
        </w:rPr>
        <w:t>SEVIRI observations. Therefore the provision of FRP products from the other geostationary satellites currently operating around the globe would be highly beneficial for such environmental services.</w:t>
      </w:r>
    </w:p>
    <w:p w:rsidR="00884762" w:rsidRDefault="00884762" w:rsidP="00747E63">
      <w:pPr>
        <w:rPr>
          <w:lang w:val="en-GB"/>
        </w:rPr>
      </w:pPr>
    </w:p>
    <w:p w:rsidR="00DB7041" w:rsidRPr="00884762" w:rsidRDefault="00DB7041" w:rsidP="00747E63">
      <w:pPr>
        <w:rPr>
          <w:lang w:val="en-GB"/>
        </w:rPr>
      </w:pPr>
    </w:p>
    <w:p w:rsidR="00884762" w:rsidRDefault="00884762" w:rsidP="00884762">
      <w:pPr>
        <w:keepNext/>
        <w:jc w:val="center"/>
      </w:pPr>
      <w:r w:rsidRPr="00884762">
        <w:rPr>
          <w:noProof/>
          <w:lang w:val="en-US" w:eastAsia="en-US"/>
        </w:rPr>
        <w:drawing>
          <wp:inline distT="0" distB="0" distL="0" distR="0">
            <wp:extent cx="5473888" cy="4235501"/>
            <wp:effectExtent l="19050" t="0" r="0" b="0"/>
            <wp:docPr id="30" name="Picture 9" descr="D:\Dropbox\Research\LSA SAF paper\PArt 2 and figures\Figures\Figure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D:\Dropbox\Research\LSA SAF paper\PArt 2 and figures\Figures\Figure1.tif"/>
                    <pic:cNvPicPr>
                      <a:picLocks noChangeAspect="1" noChangeArrowheads="1"/>
                    </pic:cNvPicPr>
                  </pic:nvPicPr>
                  <pic:blipFill>
                    <a:blip r:embed="rId57" cstate="print"/>
                    <a:srcRect l="10630"/>
                    <a:stretch>
                      <a:fillRect/>
                    </a:stretch>
                  </pic:blipFill>
                  <pic:spPr bwMode="auto">
                    <a:xfrm>
                      <a:off x="0" y="0"/>
                      <a:ext cx="5481708" cy="4241552"/>
                    </a:xfrm>
                    <a:prstGeom prst="rect">
                      <a:avLst/>
                    </a:prstGeom>
                    <a:noFill/>
                  </pic:spPr>
                </pic:pic>
              </a:graphicData>
            </a:graphic>
          </wp:inline>
        </w:drawing>
      </w:r>
    </w:p>
    <w:p w:rsidR="00884762" w:rsidRDefault="00884762" w:rsidP="00884762">
      <w:pPr>
        <w:pStyle w:val="Caption"/>
        <w:jc w:val="center"/>
      </w:pPr>
      <w:bookmarkStart w:id="52" w:name="_Toc460923883"/>
      <w:r>
        <w:t xml:space="preserve">Figure </w:t>
      </w:r>
      <w:r w:rsidR="00E27A82">
        <w:fldChar w:fldCharType="begin"/>
      </w:r>
      <w:r w:rsidR="002D15AB">
        <w:instrText xml:space="preserve"> SEQ Figure \* ARABIC </w:instrText>
      </w:r>
      <w:r w:rsidR="00E27A82">
        <w:fldChar w:fldCharType="separate"/>
      </w:r>
      <w:r w:rsidR="00ED66C2">
        <w:rPr>
          <w:noProof/>
        </w:rPr>
        <w:t>26</w:t>
      </w:r>
      <w:r w:rsidR="00E27A82">
        <w:fldChar w:fldCharType="end"/>
      </w:r>
      <w:r w:rsidR="00BF6613">
        <w:t>:</w:t>
      </w:r>
      <w:r>
        <w:t xml:space="preserve"> </w:t>
      </w:r>
      <w:r w:rsidRPr="00E076DF">
        <w:t xml:space="preserve">EUMETSAT Land SAF FRP product from MSG/SEVIRI </w:t>
      </w:r>
      <w:r>
        <w:t>(Roberts et al., 2015).</w:t>
      </w:r>
      <w:bookmarkEnd w:id="52"/>
    </w:p>
    <w:p w:rsidR="00D4272F" w:rsidRPr="00D4272F" w:rsidRDefault="00D4272F" w:rsidP="00D4272F"/>
    <w:p w:rsidR="00884762" w:rsidRDefault="00884762" w:rsidP="00884762">
      <w:pPr>
        <w:keepNext/>
        <w:jc w:val="center"/>
      </w:pPr>
      <w:r w:rsidRPr="00884762">
        <w:rPr>
          <w:noProof/>
          <w:lang w:val="en-US" w:eastAsia="en-US"/>
        </w:rPr>
        <w:drawing>
          <wp:inline distT="0" distB="0" distL="0" distR="0">
            <wp:extent cx="5801011" cy="3913632"/>
            <wp:effectExtent l="19050" t="0" r="9239" b="0"/>
            <wp:docPr id="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810650" cy="3920135"/>
                    </a:xfrm>
                    <a:prstGeom prst="rect">
                      <a:avLst/>
                    </a:prstGeom>
                    <a:noFill/>
                    <a:ln>
                      <a:noFill/>
                    </a:ln>
                  </pic:spPr>
                </pic:pic>
              </a:graphicData>
            </a:graphic>
          </wp:inline>
        </w:drawing>
      </w:r>
    </w:p>
    <w:p w:rsidR="00884762" w:rsidRPr="00884762" w:rsidRDefault="00884762" w:rsidP="00884762">
      <w:pPr>
        <w:pStyle w:val="Caption"/>
        <w:jc w:val="center"/>
      </w:pPr>
      <w:bookmarkStart w:id="53" w:name="_Toc460923884"/>
      <w:r>
        <w:t xml:space="preserve">Figure </w:t>
      </w:r>
      <w:r w:rsidR="00E27A82">
        <w:fldChar w:fldCharType="begin"/>
      </w:r>
      <w:r w:rsidR="002D15AB">
        <w:instrText xml:space="preserve"> SEQ Figure \* ARABIC </w:instrText>
      </w:r>
      <w:r w:rsidR="00E27A82">
        <w:fldChar w:fldCharType="separate"/>
      </w:r>
      <w:r w:rsidR="00ED66C2">
        <w:rPr>
          <w:noProof/>
        </w:rPr>
        <w:t>27</w:t>
      </w:r>
      <w:r w:rsidR="00E27A82">
        <w:fldChar w:fldCharType="end"/>
      </w:r>
      <w:r w:rsidR="00BF6613">
        <w:t>:</w:t>
      </w:r>
      <w:r>
        <w:t xml:space="preserve"> </w:t>
      </w:r>
      <w:r w:rsidRPr="00996A79">
        <w:rPr>
          <w:lang w:val="en-CA"/>
        </w:rPr>
        <w:t>LSA SAF SEVIRI FRP-PIXEL Product captures peaks bet</w:t>
      </w:r>
      <w:r>
        <w:rPr>
          <w:lang w:val="en-CA"/>
        </w:rPr>
        <w:t>ter than MODIS (</w:t>
      </w:r>
      <w:r w:rsidR="005834B0">
        <w:rPr>
          <w:lang w:val="en-GB"/>
        </w:rPr>
        <w:t xml:space="preserve">Baldassarre </w:t>
      </w:r>
      <w:r>
        <w:rPr>
          <w:lang w:val="en-GB"/>
        </w:rPr>
        <w:t>et al.</w:t>
      </w:r>
      <w:r w:rsidR="005834B0">
        <w:rPr>
          <w:lang w:val="en-GB"/>
        </w:rPr>
        <w:t>,</w:t>
      </w:r>
      <w:r>
        <w:rPr>
          <w:lang w:val="en-GB"/>
        </w:rPr>
        <w:t xml:space="preserve"> 2015).</w:t>
      </w:r>
      <w:bookmarkEnd w:id="53"/>
    </w:p>
    <w:p w:rsidR="00884762" w:rsidRDefault="00884762" w:rsidP="00884762">
      <w:r>
        <w:t xml:space="preserve">Fire detection and FRP are significant contributors to several SBAs including </w:t>
      </w:r>
      <w:r w:rsidRPr="00D2144C">
        <w:rPr>
          <w:b/>
        </w:rPr>
        <w:t>SBA/Climate</w:t>
      </w:r>
      <w:r>
        <w:t xml:space="preserve">, </w:t>
      </w:r>
      <w:r w:rsidRPr="00D2144C">
        <w:rPr>
          <w:b/>
        </w:rPr>
        <w:t>SBA/Weather</w:t>
      </w:r>
      <w:r>
        <w:t xml:space="preserve">, </w:t>
      </w:r>
      <w:r w:rsidRPr="00D2144C">
        <w:rPr>
          <w:b/>
        </w:rPr>
        <w:t>SBA/Health</w:t>
      </w:r>
      <w:r>
        <w:t xml:space="preserve">, </w:t>
      </w:r>
      <w:r w:rsidRPr="00D2144C">
        <w:rPr>
          <w:b/>
        </w:rPr>
        <w:t>SBA/Ecosystems</w:t>
      </w:r>
      <w:r>
        <w:t xml:space="preserve"> and </w:t>
      </w:r>
      <w:r w:rsidRPr="00D2144C">
        <w:rPr>
          <w:b/>
        </w:rPr>
        <w:t>SBA/Agriculture</w:t>
      </w:r>
      <w:r>
        <w:t xml:space="preserve">. </w:t>
      </w:r>
    </w:p>
    <w:p w:rsidR="00A979D9" w:rsidRDefault="00A979D9" w:rsidP="00884762"/>
    <w:p w:rsidR="00884762" w:rsidRPr="00996A79" w:rsidRDefault="00884762" w:rsidP="00884762">
      <w:pPr>
        <w:pStyle w:val="Heading3"/>
      </w:pPr>
      <w:r>
        <w:t xml:space="preserve"> </w:t>
      </w:r>
      <w:r w:rsidRPr="00996A79">
        <w:t>Land Surface Temperature</w:t>
      </w:r>
    </w:p>
    <w:p w:rsidR="00884762" w:rsidRPr="00884762" w:rsidRDefault="00884762" w:rsidP="00884762">
      <w:pPr>
        <w:rPr>
          <w:lang w:val="en-GB"/>
        </w:rPr>
      </w:pPr>
      <w:r w:rsidRPr="00996A79">
        <w:rPr>
          <w:lang w:val="en-GB"/>
        </w:rPr>
        <w:t xml:space="preserve">The diurnal cycle of land surface temperature (LST) is an important element of the climate system. </w:t>
      </w:r>
      <w:r w:rsidR="00A973D6">
        <w:rPr>
          <w:lang w:val="en-GB"/>
        </w:rPr>
        <w:t xml:space="preserve">LST </w:t>
      </w:r>
      <w:r w:rsidRPr="00996A79">
        <w:rPr>
          <w:lang w:val="en-GB"/>
        </w:rPr>
        <w:t xml:space="preserve">and its diurnal variation are crucial for the physical processes of land surface energy and water balance at </w:t>
      </w:r>
      <w:r>
        <w:rPr>
          <w:lang w:val="en-GB"/>
        </w:rPr>
        <w:t>regional and global scales</w:t>
      </w:r>
      <w:r w:rsidRPr="00996A79">
        <w:rPr>
          <w:lang w:val="en-GB"/>
        </w:rPr>
        <w:t xml:space="preserve">. The diurnal cycle of LST is closely related to solar insolation, the state of the atmosphere, and surface characteristics, e.g., soil type, soil moisture, and vegetation cover. Satellite remote sensing provides the unique way to measure the diurnal cycle of LST over extended regions </w:t>
      </w:r>
      <w:r>
        <w:rPr>
          <w:lang w:val="en-GB"/>
        </w:rPr>
        <w:t xml:space="preserve">and is sensitive to heat waves </w:t>
      </w:r>
      <w:r w:rsidRPr="00996A79">
        <w:rPr>
          <w:lang w:val="en-GB"/>
        </w:rPr>
        <w:t>but</w:t>
      </w:r>
      <w:r>
        <w:rPr>
          <w:lang w:val="en-GB"/>
        </w:rPr>
        <w:t xml:space="preserve"> can also be used</w:t>
      </w:r>
      <w:r w:rsidRPr="00996A79">
        <w:rPr>
          <w:lang w:val="en-GB"/>
        </w:rPr>
        <w:t xml:space="preserve"> over small areas like for monitoring urban heat island (UHI) effects.</w:t>
      </w:r>
    </w:p>
    <w:p w:rsidR="00884762" w:rsidRPr="00E011BA" w:rsidRDefault="00884762" w:rsidP="00884762">
      <w:pPr>
        <w:rPr>
          <w:lang w:val="en-GB"/>
        </w:rPr>
      </w:pPr>
      <w:r w:rsidRPr="00996A79">
        <w:rPr>
          <w:lang w:val="en-GB"/>
        </w:rPr>
        <w:t xml:space="preserve">Whilst urban heat island studies have generally been conducted using air temperatures these have focused mostly on the features and causes of UHIs and the relation between weather conditions and UHI intensity. Alternatively, remote sensing data from satellites can be used to study UHIs. As the quality of background data, such as the surface spectral emissivity, has increased and the retrieval algorithms for land surface temperature (LST) have become more sophisticated, the quality of LST data retrieved from satellites has greatly improved in recent years.  Therefore the capability of geostationary satellite data to support the assessment of the impact of heat waves in urban environment is increasing and </w:t>
      </w:r>
      <w:r>
        <w:rPr>
          <w:lang w:val="en-GB"/>
        </w:rPr>
        <w:t>is</w:t>
      </w:r>
      <w:r w:rsidRPr="00996A79">
        <w:rPr>
          <w:lang w:val="en-GB"/>
        </w:rPr>
        <w:t xml:space="preserve"> important in mega-city areas, in particular when combined with other data like geospatial information or polar orbiting data. </w:t>
      </w:r>
    </w:p>
    <w:p w:rsidR="00884762" w:rsidRDefault="00884762" w:rsidP="00884762">
      <w:pPr>
        <w:keepNext/>
        <w:jc w:val="center"/>
      </w:pPr>
      <w:r w:rsidRPr="00884762">
        <w:rPr>
          <w:noProof/>
          <w:lang w:val="en-US" w:eastAsia="en-US"/>
        </w:rPr>
        <w:drawing>
          <wp:inline distT="0" distB="0" distL="0" distR="0">
            <wp:extent cx="3727532" cy="3482035"/>
            <wp:effectExtent l="19050" t="0" r="6268" b="0"/>
            <wp:docPr id="33" name="Picture 10" descr="C:\Users\marco\Dropbox\LandSAF\2016_Jun_Nice_CGMS\AuxMaterial\HDF5_LSASAF_MSG_LST_MSG-Disk_201606031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5" descr="C:\Users\marco\Dropbox\LandSAF\2016_Jun_Nice_CGMS\AuxMaterial\HDF5_LSASAF_MSG_LST_MSG-Disk_201606031600.png"/>
                    <pic:cNvPicPr>
                      <a:picLocks noChangeAspect="1" noChangeArrowheads="1"/>
                    </pic:cNvPicPr>
                  </pic:nvPicPr>
                  <pic:blipFill>
                    <a:blip r:embed="rId59" cstate="print"/>
                    <a:srcRect/>
                    <a:stretch>
                      <a:fillRect/>
                    </a:stretch>
                  </pic:blipFill>
                  <pic:spPr bwMode="auto">
                    <a:xfrm>
                      <a:off x="0" y="0"/>
                      <a:ext cx="3729570" cy="3483939"/>
                    </a:xfrm>
                    <a:prstGeom prst="rect">
                      <a:avLst/>
                    </a:prstGeom>
                    <a:noFill/>
                    <a:ln w="9525">
                      <a:noFill/>
                      <a:miter lim="800000"/>
                      <a:headEnd/>
                      <a:tailEnd/>
                    </a:ln>
                  </pic:spPr>
                </pic:pic>
              </a:graphicData>
            </a:graphic>
          </wp:inline>
        </w:drawing>
      </w:r>
    </w:p>
    <w:p w:rsidR="00A973D6" w:rsidRPr="00BF6613" w:rsidRDefault="00884762" w:rsidP="00BF6613">
      <w:pPr>
        <w:pStyle w:val="Caption"/>
        <w:jc w:val="center"/>
      </w:pPr>
      <w:bookmarkStart w:id="54" w:name="_Toc460923885"/>
      <w:r>
        <w:t xml:space="preserve">Figure </w:t>
      </w:r>
      <w:r w:rsidR="00E27A82">
        <w:rPr>
          <w:b w:val="0"/>
          <w:bCs w:val="0"/>
        </w:rPr>
        <w:fldChar w:fldCharType="begin"/>
      </w:r>
      <w:r w:rsidR="002D15AB">
        <w:instrText xml:space="preserve"> SEQ Figure \* ARABIC </w:instrText>
      </w:r>
      <w:r w:rsidR="00E27A82">
        <w:rPr>
          <w:b w:val="0"/>
          <w:bCs w:val="0"/>
        </w:rPr>
        <w:fldChar w:fldCharType="separate"/>
      </w:r>
      <w:r w:rsidR="00ED66C2">
        <w:rPr>
          <w:noProof/>
        </w:rPr>
        <w:t>28</w:t>
      </w:r>
      <w:r w:rsidR="00E27A82">
        <w:rPr>
          <w:b w:val="0"/>
          <w:bCs w:val="0"/>
        </w:rPr>
        <w:fldChar w:fldCharType="end"/>
      </w:r>
      <w:r w:rsidR="00BF6613">
        <w:rPr>
          <w:b w:val="0"/>
          <w:bCs w:val="0"/>
        </w:rPr>
        <w:t>:</w:t>
      </w:r>
      <w:r>
        <w:t xml:space="preserve"> Land Surface Temperature for derived </w:t>
      </w:r>
      <w:r w:rsidRPr="00BF6613">
        <w:t xml:space="preserve">from MSG/SEVIRI </w:t>
      </w:r>
      <w:r w:rsidR="00B335D7" w:rsidRPr="00BF6613">
        <w:t>(CGMS-44-EUMETSAT-WP-34</w:t>
      </w:r>
      <w:r w:rsidR="002A61EE" w:rsidRPr="00BF6613">
        <w:t xml:space="preserve"> </w:t>
      </w:r>
      <w:r w:rsidR="00B335D7" w:rsidRPr="00BF6613">
        <w:t>, 2016)</w:t>
      </w:r>
      <w:r w:rsidRPr="00BF6613">
        <w:t xml:space="preserve">.As geostationary satellite imagers have since the very beginning contained observations in the infrared window region and today also with split window capabilities it is possible to derive consistent LST for the geo-ring. The accuracy and consistency of those observations will improve with the </w:t>
      </w:r>
      <w:r w:rsidR="00A973D6" w:rsidRPr="00BF6613">
        <w:t xml:space="preserve">enhanced </w:t>
      </w:r>
      <w:r w:rsidRPr="00BF6613">
        <w:t>capabilities of the full geo-ring that enables higher temporal and spatial resolution observations with multispectral capabilities for cloud detection.</w:t>
      </w:r>
      <w:bookmarkEnd w:id="54"/>
    </w:p>
    <w:p w:rsidR="00884762" w:rsidRDefault="00884762" w:rsidP="00A973D6">
      <w:pPr>
        <w:pStyle w:val="Caption"/>
        <w:jc w:val="center"/>
      </w:pPr>
      <w:r w:rsidRPr="00884762">
        <w:rPr>
          <w:noProof/>
          <w:lang w:val="en-US" w:eastAsia="en-US"/>
        </w:rPr>
        <w:drawing>
          <wp:inline distT="0" distB="0" distL="0" distR="0">
            <wp:extent cx="6080373" cy="2691994"/>
            <wp:effectExtent l="0" t="0" r="0" b="0"/>
            <wp:docPr id="37" name="Picture 9" descr="g2_BIOPAR_LST10S__GLOBE_20160501_MEDIAN_scale_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4" descr="g2_BIOPAR_LST10S__GLOBE_20160501_MEDIAN_scale_transparent"/>
                    <pic:cNvPicPr>
                      <a:picLocks noChangeAspect="1" noChangeArrowheads="1"/>
                    </pic:cNvPicPr>
                  </pic:nvPicPr>
                  <pic:blipFill>
                    <a:blip r:embed="rId60" cstate="print"/>
                    <a:srcRect/>
                    <a:stretch>
                      <a:fillRect/>
                    </a:stretch>
                  </pic:blipFill>
                  <pic:spPr bwMode="auto">
                    <a:xfrm>
                      <a:off x="0" y="0"/>
                      <a:ext cx="6078373" cy="2691108"/>
                    </a:xfrm>
                    <a:prstGeom prst="rect">
                      <a:avLst/>
                    </a:prstGeom>
                    <a:noFill/>
                    <a:ln w="9525">
                      <a:noFill/>
                      <a:miter lim="800000"/>
                      <a:headEnd/>
                      <a:tailEnd/>
                    </a:ln>
                  </pic:spPr>
                </pic:pic>
              </a:graphicData>
            </a:graphic>
          </wp:inline>
        </w:drawing>
      </w:r>
    </w:p>
    <w:p w:rsidR="00884762" w:rsidRPr="00884762" w:rsidRDefault="00884762" w:rsidP="00BF6613">
      <w:pPr>
        <w:pStyle w:val="Caption"/>
      </w:pPr>
      <w:bookmarkStart w:id="55" w:name="_Toc460923886"/>
      <w:r>
        <w:t xml:space="preserve">Figure </w:t>
      </w:r>
      <w:r w:rsidR="00E27A82">
        <w:fldChar w:fldCharType="begin"/>
      </w:r>
      <w:r w:rsidR="002D15AB">
        <w:instrText xml:space="preserve"> SEQ Figure \* ARABIC </w:instrText>
      </w:r>
      <w:r w:rsidR="00E27A82">
        <w:fldChar w:fldCharType="separate"/>
      </w:r>
      <w:r w:rsidR="00ED66C2">
        <w:rPr>
          <w:noProof/>
        </w:rPr>
        <w:t>29</w:t>
      </w:r>
      <w:r w:rsidR="00E27A82">
        <w:fldChar w:fldCharType="end"/>
      </w:r>
      <w:r w:rsidR="00BF6613">
        <w:t>:</w:t>
      </w:r>
      <w:r>
        <w:t xml:space="preserve"> </w:t>
      </w:r>
      <w:r w:rsidRPr="00996A79">
        <w:rPr>
          <w:lang w:val="pt-PT"/>
        </w:rPr>
        <w:t>In the framework of the</w:t>
      </w:r>
      <w:r>
        <w:rPr>
          <w:lang w:val="pt-PT"/>
        </w:rPr>
        <w:t xml:space="preserve"> Copernicus GL, besides the hou</w:t>
      </w:r>
      <w:r w:rsidRPr="00996A79">
        <w:rPr>
          <w:lang w:val="pt-PT"/>
        </w:rPr>
        <w:t>r</w:t>
      </w:r>
      <w:r>
        <w:rPr>
          <w:lang w:val="pt-PT"/>
        </w:rPr>
        <w:t>l</w:t>
      </w:r>
      <w:r w:rsidRPr="00996A79">
        <w:rPr>
          <w:lang w:val="pt-PT"/>
        </w:rPr>
        <w:t xml:space="preserve">y </w:t>
      </w:r>
      <w:r w:rsidRPr="00BF6613">
        <w:t>LST, also dekad composites are provided together with the Thermal Condition Index based on a multi-year climatology.</w:t>
      </w:r>
      <w:r w:rsidR="00B335D7" w:rsidRPr="00BF6613">
        <w:t xml:space="preserve"> </w:t>
      </w:r>
      <w:r w:rsidR="002A61EE" w:rsidRPr="00BF6613">
        <w:t>(CGMS-44-EUMETSAT-WP-34 , 2016).</w:t>
      </w:r>
      <w:bookmarkEnd w:id="55"/>
    </w:p>
    <w:p w:rsidR="00884762" w:rsidRPr="00996A79" w:rsidRDefault="00884762" w:rsidP="00884762">
      <w:r>
        <w:t xml:space="preserve">LST is a direct indicator of the instantaneous land stress affecting the hydrological cycle and hence it contributes to </w:t>
      </w:r>
      <w:r w:rsidRPr="0077130D">
        <w:rPr>
          <w:b/>
        </w:rPr>
        <w:t>SBA/Agriculture</w:t>
      </w:r>
      <w:r>
        <w:t xml:space="preserve"> as well as to </w:t>
      </w:r>
      <w:r w:rsidRPr="0077130D">
        <w:rPr>
          <w:b/>
        </w:rPr>
        <w:t>SBA/Ecosystems</w:t>
      </w:r>
      <w:r>
        <w:t>. As a component in drought monitoring and the potential for supporting th</w:t>
      </w:r>
      <w:r w:rsidR="00092EE6">
        <w:t xml:space="preserve">e monitoring </w:t>
      </w:r>
      <w:r>
        <w:t xml:space="preserve">of strong temperature anomalies over land it also contributes to </w:t>
      </w:r>
      <w:r w:rsidRPr="0077130D">
        <w:rPr>
          <w:b/>
        </w:rPr>
        <w:t>SBA/Disasters</w:t>
      </w:r>
      <w:r>
        <w:t>.</w:t>
      </w:r>
    </w:p>
    <w:p w:rsidR="00884762" w:rsidRPr="00884762" w:rsidRDefault="00884762" w:rsidP="00884762">
      <w:pPr>
        <w:pStyle w:val="Heading3"/>
      </w:pPr>
      <w:r w:rsidRPr="00996A79">
        <w:t>Snow</w:t>
      </w:r>
    </w:p>
    <w:p w:rsidR="00884762" w:rsidRPr="00E20757" w:rsidRDefault="00884762" w:rsidP="00DB7041">
      <w:pPr>
        <w:spacing w:after="240"/>
        <w:rPr>
          <w:rFonts w:asciiTheme="minorHAnsi" w:hAnsiTheme="minorHAnsi"/>
          <w:lang w:val="en-GB" w:eastAsia="en-GB"/>
        </w:rPr>
      </w:pPr>
      <w:r w:rsidRPr="00996A79">
        <w:rPr>
          <w:lang w:val="en-GB" w:eastAsia="en-GB"/>
        </w:rPr>
        <w:t>The potential to estimate the depth of the snow pack from satellite observations</w:t>
      </w:r>
      <w:r>
        <w:rPr>
          <w:lang w:val="en-GB" w:eastAsia="en-GB"/>
        </w:rPr>
        <w:t xml:space="preserve"> in the reflective part of the e</w:t>
      </w:r>
      <w:r w:rsidRPr="00996A79">
        <w:rPr>
          <w:lang w:val="en-GB" w:eastAsia="en-GB"/>
        </w:rPr>
        <w:t>lectromagnetic spectrum is limited</w:t>
      </w:r>
      <w:r>
        <w:rPr>
          <w:lang w:val="en-GB" w:eastAsia="en-GB"/>
        </w:rPr>
        <w:t xml:space="preserve"> and</w:t>
      </w:r>
      <w:r w:rsidRPr="00996A79">
        <w:rPr>
          <w:lang w:val="en-GB" w:eastAsia="en-GB"/>
        </w:rPr>
        <w:t xml:space="preserve">, there is no direct physical relationship between the snow depth and reflectivity of the snow </w:t>
      </w:r>
      <w:r>
        <w:rPr>
          <w:lang w:val="en-GB" w:eastAsia="en-GB"/>
        </w:rPr>
        <w:t>surface</w:t>
      </w:r>
      <w:r w:rsidRPr="00996A79">
        <w:rPr>
          <w:lang w:val="en-GB" w:eastAsia="en-GB"/>
        </w:rPr>
        <w:t xml:space="preserve">. However, </w:t>
      </w:r>
      <w:r>
        <w:rPr>
          <w:lang w:val="en-GB" w:eastAsia="en-GB"/>
        </w:rPr>
        <w:t xml:space="preserve">due to the structure </w:t>
      </w:r>
      <w:r w:rsidRPr="00996A79">
        <w:rPr>
          <w:lang w:val="en-GB" w:eastAsia="en-GB"/>
        </w:rPr>
        <w:t xml:space="preserve">of vegetation </w:t>
      </w:r>
      <w:r>
        <w:rPr>
          <w:lang w:val="en-GB" w:eastAsia="en-GB"/>
        </w:rPr>
        <w:t xml:space="preserve">and terrain roughness, </w:t>
      </w:r>
      <w:r w:rsidRPr="00996A79">
        <w:rPr>
          <w:lang w:val="en-GB" w:eastAsia="en-GB"/>
        </w:rPr>
        <w:t>changing snow depth causes a gradual change of the fraction of</w:t>
      </w:r>
      <w:r>
        <w:rPr>
          <w:lang w:val="en-GB" w:eastAsia="en-GB"/>
        </w:rPr>
        <w:t xml:space="preserve"> the land surface masked by snow</w:t>
      </w:r>
      <w:r w:rsidRPr="00996A79">
        <w:rPr>
          <w:lang w:val="en-GB" w:eastAsia="en-GB"/>
        </w:rPr>
        <w:t xml:space="preserve">. Along with the snow fraction, the reflectance of the land surface also increases with the increasing snow depth up to some depth where the underlying land surface is completely masked by snow. This relationship between the snow depth and the surface reflectance or the fractional snow cover is quite pronounced for thin to medium thick snow packs and thus provides means for estimating snow depth. </w:t>
      </w:r>
      <w:r>
        <w:rPr>
          <w:lang w:val="en-GB" w:eastAsia="en-GB"/>
        </w:rPr>
        <w:t>This would be obscured in the presence of trees that mask</w:t>
      </w:r>
      <w:r w:rsidRPr="00996A79">
        <w:rPr>
          <w:lang w:val="en-GB" w:eastAsia="en-GB"/>
        </w:rPr>
        <w:t xml:space="preserve"> and </w:t>
      </w:r>
      <w:r>
        <w:rPr>
          <w:lang w:val="en-GB" w:eastAsia="en-GB"/>
        </w:rPr>
        <w:t xml:space="preserve">cast </w:t>
      </w:r>
      <w:r w:rsidRPr="00996A79">
        <w:rPr>
          <w:lang w:val="en-GB" w:eastAsia="en-GB"/>
        </w:rPr>
        <w:t xml:space="preserve">shadows </w:t>
      </w:r>
      <w:r>
        <w:rPr>
          <w:lang w:val="en-GB" w:eastAsia="en-GB"/>
        </w:rPr>
        <w:t>and therefore providing the potential to estimate</w:t>
      </w:r>
      <w:r w:rsidRPr="00996A79">
        <w:rPr>
          <w:lang w:val="en-GB" w:eastAsia="en-GB"/>
        </w:rPr>
        <w:t xml:space="preserve"> snow depth </w:t>
      </w:r>
      <w:r>
        <w:rPr>
          <w:lang w:val="en-GB" w:eastAsia="en-GB"/>
        </w:rPr>
        <w:t xml:space="preserve">in areas </w:t>
      </w:r>
      <w:r w:rsidRPr="00996A79">
        <w:rPr>
          <w:lang w:val="en-GB" w:eastAsia="en-GB"/>
        </w:rPr>
        <w:t xml:space="preserve">with no or very little forest cover. The relationship between the snow fraction and the snow depth is actively used in climate and land surface models to predict the fractional snow cover when the depth of the snowpack is known. </w:t>
      </w:r>
      <w:r>
        <w:rPr>
          <w:lang w:val="en-GB" w:eastAsia="en-GB"/>
        </w:rPr>
        <w:t>An</w:t>
      </w:r>
      <w:r w:rsidRPr="00996A79">
        <w:rPr>
          <w:lang w:val="en-GB" w:eastAsia="en-GB"/>
        </w:rPr>
        <w:t xml:space="preserve"> empirical approach </w:t>
      </w:r>
      <w:r>
        <w:rPr>
          <w:lang w:val="en-GB" w:eastAsia="en-GB"/>
        </w:rPr>
        <w:t>matching</w:t>
      </w:r>
      <w:r w:rsidRPr="00996A79">
        <w:rPr>
          <w:lang w:val="en-GB" w:eastAsia="en-GB"/>
        </w:rPr>
        <w:t xml:space="preserve"> snow fraction derived directly from GOES Imager observations with synchronous in situ measurements of snow depth</w:t>
      </w:r>
      <w:r>
        <w:rPr>
          <w:lang w:val="en-GB" w:eastAsia="en-GB"/>
        </w:rPr>
        <w:t xml:space="preserve"> is the basis for the snow cover product planned for GOES-R.</w:t>
      </w:r>
      <w:r w:rsidR="00F31033">
        <w:rPr>
          <w:lang w:val="en-GB" w:eastAsia="en-GB"/>
        </w:rPr>
        <w:t xml:space="preserve"> </w:t>
      </w:r>
      <w:r w:rsidRPr="00E20757">
        <w:rPr>
          <w:rStyle w:val="A1"/>
          <w:rFonts w:asciiTheme="minorHAnsi" w:hAnsiTheme="minorHAnsi" w:cs="Arial"/>
        </w:rPr>
        <w:t xml:space="preserve">The ABI sensor, and hence all other instruments of that class, with their high spatial resolution and multi-sensor capability in both the solar and thermal spectrums, are well suited to modern </w:t>
      </w:r>
      <w:r w:rsidRPr="00E20757">
        <w:rPr>
          <w:rStyle w:val="A1"/>
          <w:rFonts w:asciiTheme="minorHAnsi" w:hAnsiTheme="minorHAnsi" w:cs="Arial"/>
          <w:bCs/>
        </w:rPr>
        <w:t xml:space="preserve">Snow Cover </w:t>
      </w:r>
      <w:r w:rsidRPr="00E20757">
        <w:rPr>
          <w:rStyle w:val="A1"/>
          <w:rFonts w:asciiTheme="minorHAnsi" w:hAnsiTheme="minorHAnsi" w:cs="Arial"/>
        </w:rPr>
        <w:t xml:space="preserve">retrieval algorithms that are capable of detecting snow at sub-pixel levels. </w:t>
      </w:r>
    </w:p>
    <w:p w:rsidR="00E20757" w:rsidRDefault="00E20757" w:rsidP="00E20757">
      <w:pPr>
        <w:keepNext/>
        <w:jc w:val="center"/>
      </w:pPr>
      <w:r w:rsidRPr="00E20757">
        <w:rPr>
          <w:noProof/>
          <w:lang w:val="en-US" w:eastAsia="en-US"/>
        </w:rPr>
        <w:drawing>
          <wp:inline distT="0" distB="0" distL="0" distR="0">
            <wp:extent cx="4062449" cy="3811220"/>
            <wp:effectExtent l="19050" t="0" r="0" b="0"/>
            <wp:docPr id="3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srcRect/>
                    <a:stretch>
                      <a:fillRect/>
                    </a:stretch>
                  </pic:blipFill>
                  <pic:spPr bwMode="auto">
                    <a:xfrm>
                      <a:off x="0" y="0"/>
                      <a:ext cx="4067808" cy="3816248"/>
                    </a:xfrm>
                    <a:prstGeom prst="rect">
                      <a:avLst/>
                    </a:prstGeom>
                    <a:noFill/>
                    <a:ln w="9525">
                      <a:noFill/>
                      <a:miter lim="800000"/>
                      <a:headEnd/>
                      <a:tailEnd/>
                    </a:ln>
                  </pic:spPr>
                </pic:pic>
              </a:graphicData>
            </a:graphic>
          </wp:inline>
        </w:drawing>
      </w:r>
    </w:p>
    <w:p w:rsidR="00A16C71" w:rsidRPr="00BF6613" w:rsidRDefault="00E20757" w:rsidP="00A16C71">
      <w:pPr>
        <w:pStyle w:val="Caption"/>
        <w:jc w:val="center"/>
      </w:pPr>
      <w:bookmarkStart w:id="56" w:name="_Toc460923887"/>
      <w:r>
        <w:t xml:space="preserve">Figure </w:t>
      </w:r>
      <w:r w:rsidR="00E27A82">
        <w:fldChar w:fldCharType="begin"/>
      </w:r>
      <w:r w:rsidR="002D15AB">
        <w:instrText xml:space="preserve"> SEQ Figure \* ARABIC </w:instrText>
      </w:r>
      <w:r w:rsidR="00E27A82">
        <w:fldChar w:fldCharType="separate"/>
      </w:r>
      <w:r w:rsidR="00ED66C2">
        <w:rPr>
          <w:noProof/>
        </w:rPr>
        <w:t>30</w:t>
      </w:r>
      <w:r w:rsidR="00E27A82">
        <w:fldChar w:fldCharType="end"/>
      </w:r>
      <w:r w:rsidR="00BF6613">
        <w:t>:</w:t>
      </w:r>
      <w:r>
        <w:t xml:space="preserve"> </w:t>
      </w:r>
      <w:r w:rsidRPr="00E076DF">
        <w:rPr>
          <w:lang w:val="en-GB"/>
        </w:rPr>
        <w:t xml:space="preserve">Simulated GOES-R </w:t>
      </w:r>
      <w:r w:rsidRPr="00BF6613">
        <w:t>ABI Fractional Snow Cover from GOESRSCAG processing of proxy ABI data from Moderate Resolution Imaging Spectrora</w:t>
      </w:r>
      <w:r w:rsidRPr="00BF6613">
        <w:softHyphen/>
        <w:t>diometer (MODIS), March 1, 2009</w:t>
      </w:r>
      <w:r w:rsidR="005834B0" w:rsidRPr="00BF6613">
        <w:t xml:space="preserve"> (</w:t>
      </w:r>
      <w:r w:rsidR="00B335D7" w:rsidRPr="00BF6613">
        <w:t xml:space="preserve">Cline </w:t>
      </w:r>
      <w:r w:rsidR="005834B0" w:rsidRPr="00BF6613">
        <w:t>et al.,</w:t>
      </w:r>
      <w:r w:rsidR="00B335D7" w:rsidRPr="00BF6613">
        <w:t xml:space="preserve"> 2010</w:t>
      </w:r>
      <w:r w:rsidRPr="00BF6613">
        <w:t>).</w:t>
      </w:r>
      <w:bookmarkEnd w:id="56"/>
    </w:p>
    <w:p w:rsidR="00E20757" w:rsidRPr="00A16C71" w:rsidRDefault="00E20757" w:rsidP="00A16C71">
      <w:pPr>
        <w:rPr>
          <w:rFonts w:asciiTheme="minorHAnsi" w:hAnsiTheme="minorHAnsi"/>
        </w:rPr>
      </w:pPr>
      <w:r w:rsidRPr="00A16C71">
        <w:rPr>
          <w:rStyle w:val="A1"/>
          <w:rFonts w:asciiTheme="minorHAnsi" w:hAnsiTheme="minorHAnsi" w:cs="Arial"/>
        </w:rPr>
        <w:t xml:space="preserve">Today’s </w:t>
      </w:r>
      <w:r w:rsidRPr="00A16C71">
        <w:rPr>
          <w:rStyle w:val="A1"/>
          <w:rFonts w:asciiTheme="minorHAnsi" w:hAnsiTheme="minorHAnsi" w:cs="Arial"/>
          <w:bCs/>
        </w:rPr>
        <w:t>Snow Cover</w:t>
      </w:r>
      <w:r w:rsidR="00E11AAE">
        <w:rPr>
          <w:rStyle w:val="A1"/>
          <w:rFonts w:asciiTheme="minorHAnsi" w:hAnsiTheme="minorHAnsi" w:cs="Arial"/>
          <w:bCs/>
        </w:rPr>
        <w:t xml:space="preserve"> </w:t>
      </w:r>
      <w:r w:rsidRPr="00A16C71">
        <w:rPr>
          <w:rStyle w:val="A1"/>
          <w:rFonts w:asciiTheme="minorHAnsi" w:hAnsiTheme="minorHAnsi" w:cs="Arial"/>
        </w:rPr>
        <w:t xml:space="preserve">products can accurately determine not only what fraction of a pixel is covered in snow but also snow grain size and reflectivity. The new generation geostationary imagers can inform us about extent and morphology with a frequency and accuracy never before enjoyed - characteristics that are critically important to climatologists and hydrologists. Hence these products have the potential to support </w:t>
      </w:r>
      <w:r w:rsidRPr="00A16C71">
        <w:rPr>
          <w:rStyle w:val="A1"/>
          <w:rFonts w:asciiTheme="minorHAnsi" w:hAnsiTheme="minorHAnsi" w:cs="Arial"/>
          <w:b/>
        </w:rPr>
        <w:t>SBA/Climate</w:t>
      </w:r>
      <w:r w:rsidRPr="00A16C71">
        <w:rPr>
          <w:rStyle w:val="A1"/>
          <w:rFonts w:asciiTheme="minorHAnsi" w:hAnsiTheme="minorHAnsi" w:cs="Arial"/>
        </w:rPr>
        <w:t xml:space="preserve"> and </w:t>
      </w:r>
      <w:r w:rsidRPr="00A16C71">
        <w:rPr>
          <w:rStyle w:val="A1"/>
          <w:rFonts w:asciiTheme="minorHAnsi" w:hAnsiTheme="minorHAnsi" w:cs="Arial"/>
          <w:b/>
        </w:rPr>
        <w:t>SBA/Water</w:t>
      </w:r>
      <w:r w:rsidRPr="00A16C71">
        <w:rPr>
          <w:rStyle w:val="A1"/>
          <w:rFonts w:asciiTheme="minorHAnsi" w:hAnsiTheme="minorHAnsi" w:cs="Arial"/>
        </w:rPr>
        <w:t>.</w:t>
      </w:r>
    </w:p>
    <w:p w:rsidR="00A16C71" w:rsidRPr="00996A79" w:rsidRDefault="00A16C71" w:rsidP="00A16C71">
      <w:pPr>
        <w:pStyle w:val="Heading3"/>
      </w:pPr>
      <w:r w:rsidRPr="00996A79">
        <w:t>Flood/Standing water</w:t>
      </w:r>
    </w:p>
    <w:p w:rsidR="00A16C71" w:rsidRPr="00A16C71" w:rsidRDefault="00A16C71" w:rsidP="00A16C71">
      <w:pPr>
        <w:rPr>
          <w:lang w:val="en-GB"/>
        </w:rPr>
      </w:pPr>
      <w:r w:rsidRPr="00996A79">
        <w:rPr>
          <w:lang w:val="en-GB"/>
        </w:rPr>
        <w:t>Floods are the most frequent of natural disasters</w:t>
      </w:r>
      <w:r>
        <w:rPr>
          <w:lang w:val="en-GB"/>
        </w:rPr>
        <w:t xml:space="preserve"> affecting millions of people globally.</w:t>
      </w:r>
      <w:r w:rsidRPr="00996A79">
        <w:rPr>
          <w:lang w:val="en-GB"/>
        </w:rPr>
        <w:t xml:space="preserve"> Despite this, few techniques exist for the rapid detection</w:t>
      </w:r>
      <w:r w:rsidR="00E11AAE">
        <w:rPr>
          <w:lang w:val="en-GB"/>
        </w:rPr>
        <w:t xml:space="preserve"> </w:t>
      </w:r>
      <w:r w:rsidRPr="00996A79">
        <w:rPr>
          <w:lang w:val="en-GB"/>
        </w:rPr>
        <w:t>and monitoring of flooded land. Whilst in-situ methods produce good quality results they are expensive, which is a particular concern in the developing world,</w:t>
      </w:r>
      <w:r w:rsidR="00E11AAE">
        <w:rPr>
          <w:lang w:val="en-GB"/>
        </w:rPr>
        <w:t xml:space="preserve"> </w:t>
      </w:r>
      <w:r w:rsidRPr="00996A79">
        <w:rPr>
          <w:lang w:val="en-GB"/>
        </w:rPr>
        <w:t>where the majority of people affected by such flooding events live. It</w:t>
      </w:r>
      <w:r w:rsidR="00E11AAE">
        <w:rPr>
          <w:lang w:val="en-GB"/>
        </w:rPr>
        <w:t xml:space="preserve"> </w:t>
      </w:r>
      <w:r w:rsidRPr="00996A79">
        <w:rPr>
          <w:lang w:val="en-GB"/>
        </w:rPr>
        <w:t>is therefore important to develop global techniques for flood detection,</w:t>
      </w:r>
      <w:r w:rsidR="00593AC5">
        <w:rPr>
          <w:lang w:val="en-GB"/>
        </w:rPr>
        <w:t xml:space="preserve"> </w:t>
      </w:r>
      <w:r w:rsidRPr="00996A79">
        <w:rPr>
          <w:lang w:val="en-GB"/>
        </w:rPr>
        <w:t>particularly as it is predicted that climate change may lead to</w:t>
      </w:r>
      <w:r w:rsidR="00593AC5">
        <w:rPr>
          <w:lang w:val="en-GB"/>
        </w:rPr>
        <w:t xml:space="preserve"> </w:t>
      </w:r>
      <w:r w:rsidRPr="00996A79">
        <w:rPr>
          <w:lang w:val="en-GB"/>
        </w:rPr>
        <w:t>more frequent and more severe flooding in the future. Whilst again the use of polar orbiting satellite data with their diverse inst</w:t>
      </w:r>
      <w:r>
        <w:rPr>
          <w:lang w:val="en-GB"/>
        </w:rPr>
        <w:t>rumentation provide significant</w:t>
      </w:r>
      <w:r w:rsidRPr="00996A79">
        <w:rPr>
          <w:lang w:val="en-GB"/>
        </w:rPr>
        <w:t xml:space="preserve"> capabilities for flood monitoring, in rapidly changing situations more frequent observations as provided from geostationary orbit </w:t>
      </w:r>
      <w:r>
        <w:rPr>
          <w:lang w:val="en-GB"/>
        </w:rPr>
        <w:t>are</w:t>
      </w:r>
      <w:r w:rsidRPr="00996A79">
        <w:rPr>
          <w:lang w:val="en-GB"/>
        </w:rPr>
        <w:t xml:space="preserve"> needed. </w:t>
      </w:r>
    </w:p>
    <w:p w:rsidR="00A16C71" w:rsidRPr="00A16C71" w:rsidRDefault="00A16C71" w:rsidP="00A16C71">
      <w:pPr>
        <w:rPr>
          <w:lang w:val="en-GB"/>
        </w:rPr>
      </w:pPr>
      <w:r w:rsidRPr="00996A79">
        <w:rPr>
          <w:lang w:val="en-GB"/>
        </w:rPr>
        <w:t>Limited flood mapping from space has been achieved by examining</w:t>
      </w:r>
      <w:r w:rsidR="00E11AAE">
        <w:rPr>
          <w:lang w:val="en-GB"/>
        </w:rPr>
        <w:t xml:space="preserve"> </w:t>
      </w:r>
      <w:r w:rsidRPr="00996A79">
        <w:rPr>
          <w:lang w:val="en-GB"/>
        </w:rPr>
        <w:t>changes in the Normalised Difference Vegetation or Water</w:t>
      </w:r>
      <w:r w:rsidR="00E11AAE">
        <w:rPr>
          <w:lang w:val="en-GB"/>
        </w:rPr>
        <w:t xml:space="preserve"> </w:t>
      </w:r>
      <w:r w:rsidRPr="00996A79">
        <w:rPr>
          <w:lang w:val="en-GB"/>
        </w:rPr>
        <w:t>Indices</w:t>
      </w:r>
      <w:r>
        <w:rPr>
          <w:lang w:val="en-GB"/>
        </w:rPr>
        <w:t xml:space="preserve"> (NDVI and NDWI)</w:t>
      </w:r>
      <w:r w:rsidRPr="00996A79">
        <w:rPr>
          <w:lang w:val="en-GB"/>
        </w:rPr>
        <w:t>, but NDVI is designed to monitor vegetation, and</w:t>
      </w:r>
      <w:r w:rsidR="00E11AAE">
        <w:rPr>
          <w:lang w:val="en-GB"/>
        </w:rPr>
        <w:t xml:space="preserve"> </w:t>
      </w:r>
      <w:r w:rsidRPr="00996A79">
        <w:rPr>
          <w:lang w:val="en-GB"/>
        </w:rPr>
        <w:t>so is unsuitable for flood mapping if very sparse or dense vegetation</w:t>
      </w:r>
      <w:r w:rsidR="00E11AAE">
        <w:rPr>
          <w:lang w:val="en-GB"/>
        </w:rPr>
        <w:t xml:space="preserve"> </w:t>
      </w:r>
      <w:r w:rsidRPr="00996A79">
        <w:rPr>
          <w:lang w:val="en-GB"/>
        </w:rPr>
        <w:t>is present. With the advent of</w:t>
      </w:r>
      <w:r w:rsidR="00E11AAE">
        <w:rPr>
          <w:lang w:val="en-GB"/>
        </w:rPr>
        <w:t xml:space="preserve"> </w:t>
      </w:r>
      <w:r w:rsidRPr="00996A79">
        <w:rPr>
          <w:lang w:val="en-GB"/>
        </w:rPr>
        <w:t>new geostationary sensors it is now possible to gain cloud</w:t>
      </w:r>
      <w:r w:rsidR="00E11AAE">
        <w:rPr>
          <w:lang w:val="en-GB"/>
        </w:rPr>
        <w:t xml:space="preserve"> </w:t>
      </w:r>
      <w:r w:rsidRPr="00996A79">
        <w:rPr>
          <w:lang w:val="en-GB"/>
        </w:rPr>
        <w:t>free</w:t>
      </w:r>
      <w:r w:rsidR="00E11AAE">
        <w:rPr>
          <w:lang w:val="en-GB"/>
        </w:rPr>
        <w:t xml:space="preserve"> </w:t>
      </w:r>
      <w:r w:rsidRPr="00996A79">
        <w:rPr>
          <w:lang w:val="en-GB"/>
        </w:rPr>
        <w:t>VNIR observations of land surfaces much more rapidly than</w:t>
      </w:r>
      <w:r w:rsidR="00E11AAE">
        <w:rPr>
          <w:lang w:val="en-GB"/>
        </w:rPr>
        <w:t xml:space="preserve"> </w:t>
      </w:r>
      <w:r w:rsidRPr="00996A79">
        <w:rPr>
          <w:lang w:val="en-GB"/>
        </w:rPr>
        <w:t>before. It has been shown that the land surface can be viewed on</w:t>
      </w:r>
      <w:r w:rsidR="00E11AAE">
        <w:rPr>
          <w:lang w:val="en-GB"/>
        </w:rPr>
        <w:t xml:space="preserve"> </w:t>
      </w:r>
      <w:r w:rsidRPr="00996A79">
        <w:rPr>
          <w:lang w:val="en-GB"/>
        </w:rPr>
        <w:t>multiple occasions on a better than 3-day timescale with e.g. SEVIRI.</w:t>
      </w:r>
    </w:p>
    <w:p w:rsidR="00E20757" w:rsidRDefault="00A16C71" w:rsidP="00A16C71">
      <w:pPr>
        <w:rPr>
          <w:lang w:val="en-GB"/>
        </w:rPr>
      </w:pPr>
      <w:r>
        <w:rPr>
          <w:lang w:val="en-GB"/>
        </w:rPr>
        <w:t>A</w:t>
      </w:r>
      <w:r w:rsidRPr="00996A79">
        <w:rPr>
          <w:lang w:val="en-GB"/>
        </w:rPr>
        <w:t>nalysing the variation in surface</w:t>
      </w:r>
      <w:r w:rsidR="00593AC5">
        <w:rPr>
          <w:lang w:val="en-GB"/>
        </w:rPr>
        <w:t xml:space="preserve"> </w:t>
      </w:r>
      <w:r w:rsidRPr="00996A79">
        <w:rPr>
          <w:lang w:val="en-GB"/>
        </w:rPr>
        <w:t>reflectance as a function of the sun’s position allows for examination</w:t>
      </w:r>
      <w:r w:rsidR="00593AC5">
        <w:rPr>
          <w:lang w:val="en-GB"/>
        </w:rPr>
        <w:t xml:space="preserve"> </w:t>
      </w:r>
      <w:r w:rsidRPr="00996A79">
        <w:rPr>
          <w:lang w:val="en-GB"/>
        </w:rPr>
        <w:t>of the properties of the land and, in particular, the ability to</w:t>
      </w:r>
      <w:r w:rsidR="00593AC5">
        <w:rPr>
          <w:lang w:val="en-GB"/>
        </w:rPr>
        <w:t xml:space="preserve"> </w:t>
      </w:r>
      <w:r w:rsidRPr="00996A79">
        <w:rPr>
          <w:lang w:val="en-GB"/>
        </w:rPr>
        <w:t>map areas that are flooded at a given time.</w:t>
      </w:r>
      <w:r>
        <w:rPr>
          <w:lang w:val="en-GB"/>
        </w:rPr>
        <w:t xml:space="preserve"> Water </w:t>
      </w:r>
      <w:r w:rsidRPr="00996A79">
        <w:rPr>
          <w:lang w:val="en-GB"/>
        </w:rPr>
        <w:t>displays a very distinct set of scattering patterns and these can therefore be used to identify areas that are wholly or partially submerged.</w:t>
      </w:r>
      <w:r w:rsidR="000E2DC2" w:rsidRPr="000E2DC2">
        <w:rPr>
          <w:lang w:val="en-GB"/>
        </w:rPr>
        <w:t xml:space="preserve"> </w:t>
      </w:r>
      <w:r w:rsidR="000E2DC2" w:rsidRPr="00996A79">
        <w:rPr>
          <w:lang w:val="en-GB"/>
        </w:rPr>
        <w:t>Due to the dynamic and transient nature of flooding events, it is</w:t>
      </w:r>
      <w:r w:rsidR="000E2DC2">
        <w:rPr>
          <w:lang w:val="en-GB"/>
        </w:rPr>
        <w:t xml:space="preserve"> </w:t>
      </w:r>
      <w:r w:rsidR="000E2DC2" w:rsidRPr="00996A79">
        <w:rPr>
          <w:lang w:val="en-GB"/>
        </w:rPr>
        <w:t>vital to examine them with an instrument capable of rapid data</w:t>
      </w:r>
      <w:r w:rsidR="000E2DC2">
        <w:rPr>
          <w:lang w:val="en-GB"/>
        </w:rPr>
        <w:t xml:space="preserve"> </w:t>
      </w:r>
      <w:r w:rsidR="000E2DC2" w:rsidRPr="00996A79">
        <w:rPr>
          <w:lang w:val="en-GB"/>
        </w:rPr>
        <w:t>acquisition which the new generation geostationary satellites with their impro</w:t>
      </w:r>
      <w:r w:rsidR="000E2DC2">
        <w:rPr>
          <w:lang w:val="en-GB"/>
        </w:rPr>
        <w:t>ved capabilities now provide. This is well demonstrated in Figure 31 where one day of Himawari observations gives a more complete overview over the flooding event in China in July 2016 than the corresponding SNPP/VIIRS data.</w:t>
      </w:r>
    </w:p>
    <w:p w:rsidR="00A16C71" w:rsidRPr="00BF6613" w:rsidRDefault="00D20DB3" w:rsidP="00BF6613">
      <w:pPr>
        <w:rPr>
          <w:lang w:val="en-GB"/>
        </w:rPr>
      </w:pPr>
      <w:r>
        <w:rPr>
          <w:noProof/>
          <w:lang w:val="en-US" w:eastAsia="en-US"/>
        </w:rPr>
        <w:drawing>
          <wp:inline distT="0" distB="0" distL="0" distR="0">
            <wp:extent cx="2949338" cy="1781300"/>
            <wp:effectExtent l="19050" t="0" r="3412" b="0"/>
            <wp:docPr id="57" name="Picture 2"/>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2"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tretch>
                      <a:fillRect/>
                    </a:stretch>
                  </pic:blipFill>
                  <pic:spPr>
                    <a:xfrm>
                      <a:off x="0" y="0"/>
                      <a:ext cx="2948831" cy="1780994"/>
                    </a:xfrm>
                    <a:prstGeom prst="rect">
                      <a:avLst/>
                    </a:prstGeom>
                  </pic:spPr>
                </pic:pic>
              </a:graphicData>
            </a:graphic>
          </wp:inline>
        </w:drawing>
      </w:r>
      <w:r>
        <w:rPr>
          <w:noProof/>
          <w:lang w:val="en-US" w:eastAsia="en-US"/>
        </w:rPr>
        <w:drawing>
          <wp:inline distT="0" distB="0" distL="0" distR="0">
            <wp:extent cx="2990281" cy="1782029"/>
            <wp:effectExtent l="19050" t="0" r="569" b="0"/>
            <wp:docPr id="58" name="Picture 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3"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tretch>
                      <a:fillRect/>
                    </a:stretch>
                  </pic:blipFill>
                  <pic:spPr>
                    <a:xfrm>
                      <a:off x="0" y="0"/>
                      <a:ext cx="2988022" cy="1780682"/>
                    </a:xfrm>
                    <a:prstGeom prst="rect">
                      <a:avLst/>
                    </a:prstGeom>
                  </pic:spPr>
                </pic:pic>
              </a:graphicData>
            </a:graphic>
          </wp:inline>
        </w:drawing>
      </w:r>
    </w:p>
    <w:p w:rsidR="00A16C71" w:rsidRPr="00A16C71" w:rsidRDefault="00A16C71" w:rsidP="00A16C71">
      <w:pPr>
        <w:pStyle w:val="Caption"/>
        <w:jc w:val="center"/>
        <w:rPr>
          <w:lang w:val="en-GB"/>
        </w:rPr>
      </w:pPr>
      <w:bookmarkStart w:id="57" w:name="_Toc460923888"/>
      <w:r>
        <w:t xml:space="preserve">Figure </w:t>
      </w:r>
      <w:r w:rsidR="00E27A82">
        <w:fldChar w:fldCharType="begin"/>
      </w:r>
      <w:r w:rsidR="002D15AB">
        <w:instrText xml:space="preserve"> SEQ Figure \* ARABIC </w:instrText>
      </w:r>
      <w:r w:rsidR="00E27A82">
        <w:fldChar w:fldCharType="separate"/>
      </w:r>
      <w:r w:rsidR="00ED66C2">
        <w:rPr>
          <w:noProof/>
        </w:rPr>
        <w:t>31</w:t>
      </w:r>
      <w:r w:rsidR="00E27A82">
        <w:fldChar w:fldCharType="end"/>
      </w:r>
      <w:r w:rsidR="00BF6613">
        <w:t>:</w:t>
      </w:r>
      <w:r>
        <w:t xml:space="preserve"> </w:t>
      </w:r>
      <w:r w:rsidRPr="00BE1B94">
        <w:rPr>
          <w:lang w:val="en-GB"/>
        </w:rPr>
        <w:t xml:space="preserve">Flood mapping </w:t>
      </w:r>
      <w:r w:rsidR="004C0B37">
        <w:rPr>
          <w:lang w:val="en-GB"/>
        </w:rPr>
        <w:t xml:space="preserve">over China using </w:t>
      </w:r>
      <w:r w:rsidR="000E2DC2">
        <w:rPr>
          <w:lang w:val="en-GB"/>
        </w:rPr>
        <w:t xml:space="preserve">SNPP/VIIRS three-day composite(7-9 July 2016, left) and </w:t>
      </w:r>
      <w:r w:rsidR="004C0B37">
        <w:rPr>
          <w:lang w:val="en-GB"/>
        </w:rPr>
        <w:t xml:space="preserve">Himawari 8 </w:t>
      </w:r>
      <w:r w:rsidR="000E2DC2">
        <w:rPr>
          <w:lang w:val="en-GB"/>
        </w:rPr>
        <w:t>one-</w:t>
      </w:r>
      <w:r w:rsidR="004C0B37">
        <w:rPr>
          <w:lang w:val="en-GB"/>
        </w:rPr>
        <w:t>data</w:t>
      </w:r>
      <w:r w:rsidR="000E2DC2">
        <w:rPr>
          <w:lang w:val="en-GB"/>
        </w:rPr>
        <w:t xml:space="preserve"> composite (7 July 2016, right). (Goldberg, 2016).</w:t>
      </w:r>
      <w:bookmarkEnd w:id="57"/>
    </w:p>
    <w:p w:rsidR="00A16C71" w:rsidRPr="00996A79" w:rsidRDefault="00A16C71" w:rsidP="00A16C71">
      <w:pPr>
        <w:rPr>
          <w:lang w:val="en-GB"/>
        </w:rPr>
      </w:pPr>
      <w:r>
        <w:rPr>
          <w:lang w:val="en-GB"/>
        </w:rPr>
        <w:t xml:space="preserve">Flood and standing water monitoring can therefore essentially contribute not only to </w:t>
      </w:r>
      <w:r w:rsidRPr="00BE1B94">
        <w:rPr>
          <w:b/>
          <w:lang w:val="en-GB"/>
        </w:rPr>
        <w:t>SBA/Disasters</w:t>
      </w:r>
      <w:r>
        <w:rPr>
          <w:lang w:val="en-GB"/>
        </w:rPr>
        <w:t xml:space="preserve">, but also support </w:t>
      </w:r>
      <w:r w:rsidRPr="00BE1B94">
        <w:rPr>
          <w:b/>
          <w:lang w:val="en-GB"/>
        </w:rPr>
        <w:t>SBA/Agriculture</w:t>
      </w:r>
      <w:r>
        <w:rPr>
          <w:lang w:val="en-GB"/>
        </w:rPr>
        <w:t xml:space="preserve"> and </w:t>
      </w:r>
      <w:r w:rsidRPr="00BE1B94">
        <w:rPr>
          <w:b/>
          <w:lang w:val="en-GB"/>
        </w:rPr>
        <w:t>SBA/Ecosystems</w:t>
      </w:r>
      <w:r>
        <w:rPr>
          <w:lang w:val="en-GB"/>
        </w:rPr>
        <w:t>.</w:t>
      </w:r>
    </w:p>
    <w:p w:rsidR="00A16C71" w:rsidRPr="00996A79" w:rsidRDefault="00A16C71" w:rsidP="00A16C71">
      <w:pPr>
        <w:pStyle w:val="Heading3"/>
      </w:pPr>
      <w:r>
        <w:t>Vegetation/</w:t>
      </w:r>
      <w:r w:rsidRPr="00996A79">
        <w:t>Drought/Evapotranspiration</w:t>
      </w:r>
    </w:p>
    <w:p w:rsidR="00A16C71" w:rsidRPr="00996A79" w:rsidRDefault="00A16C71" w:rsidP="00A16C71">
      <w:r w:rsidRPr="00996A79">
        <w:t>The distribution of vegetation, its properties and state, is of major importance for a wide range of applications, namely:</w:t>
      </w:r>
    </w:p>
    <w:p w:rsidR="00A16C71" w:rsidRPr="00A16C71" w:rsidRDefault="00A16C71" w:rsidP="00A16C71">
      <w:pPr>
        <w:pStyle w:val="ListParagraph"/>
        <w:numPr>
          <w:ilvl w:val="0"/>
          <w:numId w:val="24"/>
        </w:numPr>
        <w:rPr>
          <w:rFonts w:asciiTheme="minorHAnsi" w:hAnsiTheme="minorHAnsi"/>
          <w:sz w:val="22"/>
          <w:szCs w:val="22"/>
        </w:rPr>
      </w:pPr>
      <w:r w:rsidRPr="00A16C71">
        <w:rPr>
          <w:rFonts w:asciiTheme="minorHAnsi" w:hAnsiTheme="minorHAnsi"/>
          <w:sz w:val="22"/>
          <w:szCs w:val="22"/>
        </w:rPr>
        <w:t>Environmental management;</w:t>
      </w:r>
    </w:p>
    <w:p w:rsidR="00A16C71" w:rsidRPr="00A16C71" w:rsidRDefault="00A16C71" w:rsidP="00A16C71">
      <w:pPr>
        <w:pStyle w:val="ListParagraph"/>
        <w:numPr>
          <w:ilvl w:val="0"/>
          <w:numId w:val="24"/>
        </w:numPr>
        <w:rPr>
          <w:rFonts w:asciiTheme="minorHAnsi" w:hAnsiTheme="minorHAnsi"/>
          <w:sz w:val="22"/>
          <w:szCs w:val="22"/>
        </w:rPr>
      </w:pPr>
      <w:r w:rsidRPr="00A16C71">
        <w:rPr>
          <w:rFonts w:asciiTheme="minorHAnsi" w:hAnsiTheme="minorHAnsi"/>
          <w:sz w:val="22"/>
          <w:szCs w:val="22"/>
        </w:rPr>
        <w:t>Natural Hazards monitoring;</w:t>
      </w:r>
    </w:p>
    <w:p w:rsidR="00A16C71" w:rsidRPr="00A16C71" w:rsidRDefault="00A16C71" w:rsidP="00A16C71">
      <w:pPr>
        <w:pStyle w:val="ListParagraph"/>
        <w:numPr>
          <w:ilvl w:val="0"/>
          <w:numId w:val="24"/>
        </w:numPr>
        <w:rPr>
          <w:rFonts w:asciiTheme="minorHAnsi" w:hAnsiTheme="minorHAnsi"/>
          <w:sz w:val="22"/>
          <w:szCs w:val="22"/>
        </w:rPr>
      </w:pPr>
      <w:r w:rsidRPr="00A16C71">
        <w:rPr>
          <w:rFonts w:asciiTheme="minorHAnsi" w:hAnsiTheme="minorHAnsi"/>
          <w:sz w:val="22"/>
          <w:szCs w:val="22"/>
        </w:rPr>
        <w:t>Agriculture and forestry;</w:t>
      </w:r>
    </w:p>
    <w:p w:rsidR="00A16C71" w:rsidRPr="00A16C71" w:rsidRDefault="00A16C71" w:rsidP="00A16C71">
      <w:pPr>
        <w:pStyle w:val="ListParagraph"/>
        <w:numPr>
          <w:ilvl w:val="0"/>
          <w:numId w:val="24"/>
        </w:numPr>
        <w:rPr>
          <w:rFonts w:asciiTheme="minorHAnsi" w:hAnsiTheme="minorHAnsi"/>
          <w:sz w:val="22"/>
          <w:szCs w:val="22"/>
        </w:rPr>
      </w:pPr>
      <w:r w:rsidRPr="00A16C71">
        <w:rPr>
          <w:rFonts w:asciiTheme="minorHAnsi" w:hAnsiTheme="minorHAnsi"/>
          <w:sz w:val="22"/>
          <w:szCs w:val="22"/>
        </w:rPr>
        <w:t>Climate change studies;</w:t>
      </w:r>
    </w:p>
    <w:p w:rsidR="00A16C71" w:rsidRDefault="00A16C71" w:rsidP="00A16C71">
      <w:pPr>
        <w:pStyle w:val="ListParagraph"/>
        <w:numPr>
          <w:ilvl w:val="0"/>
          <w:numId w:val="24"/>
        </w:numPr>
        <w:rPr>
          <w:rFonts w:asciiTheme="minorHAnsi" w:hAnsiTheme="minorHAnsi"/>
          <w:sz w:val="22"/>
          <w:szCs w:val="22"/>
        </w:rPr>
      </w:pPr>
      <w:r w:rsidRPr="00A16C71">
        <w:rPr>
          <w:rFonts w:asciiTheme="minorHAnsi" w:hAnsiTheme="minorHAnsi"/>
          <w:sz w:val="22"/>
          <w:szCs w:val="22"/>
        </w:rPr>
        <w:t>Numerical weather forecast models.</w:t>
      </w:r>
    </w:p>
    <w:p w:rsidR="00A16C71" w:rsidRPr="00A16C71" w:rsidRDefault="00A16C71" w:rsidP="00A16C71">
      <w:pPr>
        <w:pStyle w:val="ListParagraph"/>
        <w:rPr>
          <w:rFonts w:asciiTheme="minorHAnsi" w:hAnsiTheme="minorHAnsi"/>
          <w:sz w:val="22"/>
          <w:szCs w:val="22"/>
        </w:rPr>
      </w:pPr>
    </w:p>
    <w:p w:rsidR="00A16C71" w:rsidRDefault="00A16C71" w:rsidP="00A16C71">
      <w:r>
        <w:t>Changes in the land c</w:t>
      </w:r>
      <w:r w:rsidRPr="00996A79">
        <w:t xml:space="preserve">over either caused by changes in land use, climate change or natural hazards (like forest fires or droughts, for instance) may have a huge social and economic impact. Remote sensing provides the best means to monitor changes in vegetation over a wide range of temporal scales over large areas. </w:t>
      </w:r>
    </w:p>
    <w:p w:rsidR="00A16C71" w:rsidRPr="00BE1B94" w:rsidRDefault="00593AC5" w:rsidP="00A16C71">
      <w:r w:rsidRPr="00554428">
        <w:rPr>
          <w:rFonts w:asciiTheme="minorHAnsi" w:hAnsiTheme="minorHAnsi" w:cstheme="minorHAnsi"/>
        </w:rPr>
        <w:t xml:space="preserve">Several empirical indices have been proposed and used through the years, which allow an </w:t>
      </w:r>
      <w:r w:rsidR="00A16C71" w:rsidRPr="00996A79">
        <w:t xml:space="preserve">easy identification and monitoring of the vegetation conditions from satellite measurements. However such indices have several disadvantages. Because they are ratio based they are nonlinear, have noise effects and are not structural properties of land surface areas. There are several key variables that can be use for a wide range of land biosphere applications that are more directly related to vegetation properties and health than conventional empirical indices. The Satellite Application Facility on Land Surface Analysis (LSA SAF) produces several of those variables, making </w:t>
      </w:r>
      <w:r w:rsidRPr="00996A79">
        <w:t>the</w:t>
      </w:r>
      <w:r>
        <w:t>m</w:t>
      </w:r>
      <w:r w:rsidRPr="00996A79">
        <w:t xml:space="preserve"> </w:t>
      </w:r>
      <w:r w:rsidR="00A16C71" w:rsidRPr="00996A79">
        <w:t>available both in near real time and off-line.</w:t>
      </w:r>
    </w:p>
    <w:p w:rsidR="00A16C71" w:rsidRDefault="00A16C71" w:rsidP="00A16C71">
      <w:pPr>
        <w:pStyle w:val="NormalWeb"/>
        <w:rPr>
          <w:rFonts w:ascii="Arial" w:hAnsi="Arial" w:cs="Arial"/>
          <w:b/>
          <w:sz w:val="22"/>
          <w:szCs w:val="22"/>
        </w:rPr>
      </w:pPr>
    </w:p>
    <w:p w:rsidR="006D7041" w:rsidRDefault="006D7041" w:rsidP="006D7041">
      <w:pPr>
        <w:pStyle w:val="NormalWeb"/>
        <w:keepNext/>
        <w:jc w:val="center"/>
      </w:pPr>
      <w:r w:rsidRPr="006D7041">
        <w:rPr>
          <w:rFonts w:asciiTheme="minorHAnsi" w:hAnsiTheme="minorHAnsi" w:cs="Arial"/>
          <w:b/>
          <w:noProof/>
          <w:color w:val="FF0000"/>
          <w:sz w:val="22"/>
          <w:szCs w:val="22"/>
          <w:lang w:val="en-US" w:eastAsia="en-US"/>
        </w:rPr>
        <w:drawing>
          <wp:inline distT="0" distB="0" distL="0" distR="0">
            <wp:extent cx="6118343" cy="4769510"/>
            <wp:effectExtent l="19050" t="0" r="0" b="0"/>
            <wp:docPr id="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srcRect/>
                    <a:stretch>
                      <a:fillRect/>
                    </a:stretch>
                  </pic:blipFill>
                  <pic:spPr bwMode="auto">
                    <a:xfrm>
                      <a:off x="0" y="0"/>
                      <a:ext cx="6122168" cy="4772492"/>
                    </a:xfrm>
                    <a:prstGeom prst="rect">
                      <a:avLst/>
                    </a:prstGeom>
                    <a:noFill/>
                    <a:ln w="9525">
                      <a:noFill/>
                      <a:miter lim="800000"/>
                      <a:headEnd/>
                      <a:tailEnd/>
                    </a:ln>
                  </pic:spPr>
                </pic:pic>
              </a:graphicData>
            </a:graphic>
          </wp:inline>
        </w:drawing>
      </w:r>
    </w:p>
    <w:p w:rsidR="006D7041" w:rsidRDefault="006D7041" w:rsidP="00BF6613">
      <w:pPr>
        <w:pStyle w:val="Caption"/>
        <w:jc w:val="center"/>
        <w:rPr>
          <w:lang w:val="en-GB"/>
        </w:rPr>
      </w:pPr>
      <w:bookmarkStart w:id="58" w:name="_Toc460923889"/>
      <w:r>
        <w:t xml:space="preserve">Figure </w:t>
      </w:r>
      <w:r w:rsidR="00E27A82">
        <w:fldChar w:fldCharType="begin"/>
      </w:r>
      <w:r w:rsidR="002D15AB">
        <w:instrText xml:space="preserve"> SEQ Figure \* ARABIC </w:instrText>
      </w:r>
      <w:r w:rsidR="00E27A82">
        <w:fldChar w:fldCharType="separate"/>
      </w:r>
      <w:r w:rsidR="00ED66C2">
        <w:rPr>
          <w:noProof/>
        </w:rPr>
        <w:t>32</w:t>
      </w:r>
      <w:r w:rsidR="00E27A82">
        <w:fldChar w:fldCharType="end"/>
      </w:r>
      <w:r w:rsidR="00BF6613">
        <w:t>:</w:t>
      </w:r>
      <w:r>
        <w:t xml:space="preserve"> </w:t>
      </w:r>
      <w:r w:rsidRPr="003B52AE">
        <w:rPr>
          <w:lang w:val="en-GB"/>
        </w:rPr>
        <w:t>Spatio-temporal dynamics of NDVI during a growing season</w:t>
      </w:r>
      <w:r w:rsidRPr="003B52AE">
        <w:t xml:space="preserve"> using Insat-3A data. </w:t>
      </w:r>
      <w:r>
        <w:rPr>
          <w:lang w:val="en-GB"/>
        </w:rPr>
        <w:t>[</w:t>
      </w:r>
      <w:r w:rsidRPr="003B52AE">
        <w:rPr>
          <w:lang w:val="en-GB"/>
        </w:rPr>
        <w:t>Nigam</w:t>
      </w:r>
      <w:r>
        <w:rPr>
          <w:lang w:val="en-GB"/>
        </w:rPr>
        <w:t xml:space="preserve"> </w:t>
      </w:r>
      <w:r w:rsidR="005834B0">
        <w:rPr>
          <w:lang w:val="en-GB"/>
        </w:rPr>
        <w:t>et al., 2011)</w:t>
      </w:r>
      <w:r w:rsidR="00BF6613">
        <w:rPr>
          <w:lang w:val="en-GB"/>
        </w:rPr>
        <w:t>.</w:t>
      </w:r>
      <w:bookmarkEnd w:id="58"/>
    </w:p>
    <w:p w:rsidR="00A16C71" w:rsidRPr="00BF6613" w:rsidRDefault="006D7041" w:rsidP="00BF6613">
      <w:pPr>
        <w:rPr>
          <w:lang w:val="en-GB"/>
        </w:rPr>
      </w:pPr>
      <w:r w:rsidRPr="003B52AE">
        <w:rPr>
          <w:lang w:val="en-GB"/>
        </w:rPr>
        <w:t xml:space="preserve">The </w:t>
      </w:r>
      <w:r>
        <w:rPr>
          <w:lang w:val="en-GB"/>
        </w:rPr>
        <w:t xml:space="preserve">above time series of </w:t>
      </w:r>
      <w:r w:rsidRPr="003B52AE">
        <w:rPr>
          <w:lang w:val="en-GB"/>
        </w:rPr>
        <w:t>16-day NDVI composite</w:t>
      </w:r>
      <w:r>
        <w:rPr>
          <w:lang w:val="en-GB"/>
        </w:rPr>
        <w:t>s have</w:t>
      </w:r>
      <w:r w:rsidRPr="003B52AE">
        <w:rPr>
          <w:lang w:val="en-GB"/>
        </w:rPr>
        <w:t xml:space="preserve"> been computed from daily NDVI to analyze the spatio-temporal dynamics of NDVI for a growing season over different land cover categories from June 2008 to March 2009. In agriculture, NDVI showed quite high dynamics as compared to desert and forest, respectively. </w:t>
      </w:r>
      <w:r>
        <w:rPr>
          <w:lang w:val="en-GB"/>
        </w:rPr>
        <w:t>It can be seen that</w:t>
      </w:r>
      <w:r w:rsidRPr="003B52AE">
        <w:rPr>
          <w:lang w:val="en-GB"/>
        </w:rPr>
        <w:t xml:space="preserve"> in Indo-gangetic plain NDVI showed high dynamics of intensive agricultural activities from June 2008 to March 2009. In Indo-gangetic plain, overall spatial NDVI was low during June but it increased from July due to increase of vegetation cover with progression of monsoon rainfall over Indian landmass. The NDVI shows decreasing trend during October with the maturity of kharif crops but again shows increasing trend in November and peak in February due to progress of rabi crops.</w:t>
      </w:r>
    </w:p>
    <w:p w:rsidR="00370473" w:rsidRPr="00370473" w:rsidRDefault="00A16C71" w:rsidP="00370473">
      <w:pPr>
        <w:rPr>
          <w:rFonts w:asciiTheme="minorHAnsi" w:hAnsiTheme="minorHAnsi" w:cstheme="minorHAnsi"/>
          <w:lang w:val="en-GB"/>
        </w:rPr>
      </w:pPr>
      <w:r w:rsidRPr="00996A79">
        <w:rPr>
          <w:lang w:val="en-GB"/>
        </w:rPr>
        <w:t xml:space="preserve">Monitoring evapotranspiration and the extent and severity of agricultural drought is an important component of food and water security. </w:t>
      </w:r>
      <w:r w:rsidRPr="00996A79">
        <w:t>An example of this was the severe drought that stroke Eastern Africa in 2009, causing crops to shrink and threatening millions of people with starvation</w:t>
      </w:r>
      <w:r w:rsidR="00164599">
        <w:t xml:space="preserve"> (Independent, 2016</w:t>
      </w:r>
      <w:r>
        <w:t>).</w:t>
      </w:r>
      <w:r w:rsidRPr="00996A79">
        <w:t xml:space="preserve"> </w:t>
      </w:r>
      <w:r w:rsidR="00593AC5" w:rsidRPr="00554428">
        <w:rPr>
          <w:rFonts w:asciiTheme="minorHAnsi" w:hAnsiTheme="minorHAnsi" w:cstheme="minorHAnsi"/>
        </w:rPr>
        <w:t>Another exa</w:t>
      </w:r>
      <w:r w:rsidR="00593AC5">
        <w:rPr>
          <w:rFonts w:asciiTheme="minorHAnsi" w:hAnsiTheme="minorHAnsi" w:cstheme="minorHAnsi"/>
        </w:rPr>
        <w:t>mple of drought monitoring is gi</w:t>
      </w:r>
      <w:r w:rsidR="00593AC5" w:rsidRPr="00554428">
        <w:rPr>
          <w:rFonts w:asciiTheme="minorHAnsi" w:hAnsiTheme="minorHAnsi" w:cstheme="minorHAnsi"/>
        </w:rPr>
        <w:t>ven below using Chinese FY-2 over China.</w:t>
      </w:r>
      <w:r w:rsidR="00370473" w:rsidRPr="00370473">
        <w:rPr>
          <w:rFonts w:eastAsia="SimSun" w:cs="+mn-cs"/>
          <w:kern w:val="24"/>
          <w:sz w:val="18"/>
          <w:szCs w:val="18"/>
          <w:lang w:val="en-US" w:eastAsia="en-GB"/>
        </w:rPr>
        <w:t xml:space="preserve"> </w:t>
      </w:r>
      <w:r w:rsidR="00370473">
        <w:rPr>
          <w:rFonts w:asciiTheme="minorHAnsi" w:hAnsiTheme="minorHAnsi" w:cstheme="minorHAnsi"/>
          <w:lang w:val="en-US"/>
        </w:rPr>
        <w:t>Compared with</w:t>
      </w:r>
      <w:r w:rsidR="00370473" w:rsidRPr="00370473">
        <w:rPr>
          <w:rFonts w:asciiTheme="minorHAnsi" w:hAnsiTheme="minorHAnsi" w:cstheme="minorHAnsi"/>
          <w:lang w:val="en-US"/>
        </w:rPr>
        <w:t xml:space="preserve"> the average surface evapotrans</w:t>
      </w:r>
      <w:r w:rsidR="00370473">
        <w:rPr>
          <w:rFonts w:asciiTheme="minorHAnsi" w:hAnsiTheme="minorHAnsi" w:cstheme="minorHAnsi"/>
          <w:lang w:val="en-US"/>
        </w:rPr>
        <w:t>piration during the same period</w:t>
      </w:r>
      <w:r w:rsidR="00370473" w:rsidRPr="00370473">
        <w:rPr>
          <w:rFonts w:asciiTheme="minorHAnsi" w:hAnsiTheme="minorHAnsi" w:cstheme="minorHAnsi"/>
          <w:lang w:val="en-US"/>
        </w:rPr>
        <w:t xml:space="preserve"> for more tha</w:t>
      </w:r>
      <w:r w:rsidR="00370473">
        <w:rPr>
          <w:rFonts w:asciiTheme="minorHAnsi" w:hAnsiTheme="minorHAnsi" w:cstheme="minorHAnsi"/>
          <w:lang w:val="en-US"/>
        </w:rPr>
        <w:t>n ten years, Yellow color means</w:t>
      </w:r>
      <w:r w:rsidR="00370473" w:rsidRPr="00370473">
        <w:rPr>
          <w:rFonts w:asciiTheme="minorHAnsi" w:hAnsiTheme="minorHAnsi" w:cstheme="minorHAnsi"/>
          <w:lang w:val="en-US"/>
        </w:rPr>
        <w:t xml:space="preserve"> no obvious evapotranspiration change during the monitoring period, and no drought occurs.</w:t>
      </w:r>
      <w:r w:rsidR="00370473">
        <w:rPr>
          <w:rFonts w:asciiTheme="minorHAnsi" w:hAnsiTheme="minorHAnsi" w:cstheme="minorHAnsi"/>
          <w:lang w:val="en-GB"/>
        </w:rPr>
        <w:t xml:space="preserve"> </w:t>
      </w:r>
      <w:r w:rsidR="00370473" w:rsidRPr="00370473">
        <w:rPr>
          <w:rFonts w:asciiTheme="minorHAnsi" w:hAnsiTheme="minorHAnsi" w:cstheme="minorHAnsi"/>
          <w:lang w:val="en-US"/>
        </w:rPr>
        <w:t>Red, brown and black area means surfac</w:t>
      </w:r>
      <w:r w:rsidR="00370473">
        <w:rPr>
          <w:rFonts w:asciiTheme="minorHAnsi" w:hAnsiTheme="minorHAnsi" w:cstheme="minorHAnsi"/>
          <w:lang w:val="en-US"/>
        </w:rPr>
        <w:t>e evapotranspiration during the</w:t>
      </w:r>
      <w:r w:rsidR="00370473" w:rsidRPr="00370473">
        <w:rPr>
          <w:rFonts w:asciiTheme="minorHAnsi" w:hAnsiTheme="minorHAnsi" w:cstheme="minorHAnsi"/>
          <w:lang w:val="en-US"/>
        </w:rPr>
        <w:t xml:space="preserve"> monitoring period is lower than the average evapotr</w:t>
      </w:r>
      <w:r w:rsidR="00370473">
        <w:rPr>
          <w:rFonts w:asciiTheme="minorHAnsi" w:hAnsiTheme="minorHAnsi" w:cstheme="minorHAnsi"/>
          <w:lang w:val="en-US"/>
        </w:rPr>
        <w:t>anspiration, and drought occurs</w:t>
      </w:r>
      <w:r w:rsidR="00370473" w:rsidRPr="00370473">
        <w:rPr>
          <w:rFonts w:asciiTheme="minorHAnsi" w:hAnsiTheme="minorHAnsi" w:cstheme="minorHAnsi"/>
          <w:lang w:val="en-US"/>
        </w:rPr>
        <w:t xml:space="preserve"> </w:t>
      </w:r>
      <w:r w:rsidR="00370473">
        <w:rPr>
          <w:rFonts w:asciiTheme="minorHAnsi" w:hAnsiTheme="minorHAnsi" w:cstheme="minorHAnsi"/>
          <w:lang w:val="en-US"/>
        </w:rPr>
        <w:t>(</w:t>
      </w:r>
      <w:r w:rsidR="00370473" w:rsidRPr="00370473">
        <w:rPr>
          <w:rFonts w:asciiTheme="minorHAnsi" w:hAnsiTheme="minorHAnsi" w:cstheme="minorHAnsi"/>
          <w:lang w:val="en-US"/>
        </w:rPr>
        <w:t>the deeper the color, the drier</w:t>
      </w:r>
      <w:r w:rsidR="00370473">
        <w:rPr>
          <w:rFonts w:asciiTheme="minorHAnsi" w:hAnsiTheme="minorHAnsi" w:cstheme="minorHAnsi"/>
          <w:lang w:val="en-US"/>
        </w:rPr>
        <w:t>)</w:t>
      </w:r>
      <w:r w:rsidR="00370473" w:rsidRPr="00370473">
        <w:rPr>
          <w:rFonts w:asciiTheme="minorHAnsi" w:hAnsiTheme="minorHAnsi" w:cstheme="minorHAnsi"/>
          <w:lang w:val="en-US"/>
        </w:rPr>
        <w:t>.</w:t>
      </w:r>
      <w:r w:rsidR="00370473">
        <w:rPr>
          <w:rFonts w:asciiTheme="minorHAnsi" w:hAnsiTheme="minorHAnsi" w:cstheme="minorHAnsi"/>
          <w:lang w:val="en-GB"/>
        </w:rPr>
        <w:t xml:space="preserve"> </w:t>
      </w:r>
      <w:r w:rsidR="00370473">
        <w:rPr>
          <w:rFonts w:asciiTheme="minorHAnsi" w:hAnsiTheme="minorHAnsi" w:cstheme="minorHAnsi"/>
          <w:lang w:val="en-US"/>
        </w:rPr>
        <w:t>In contrast</w:t>
      </w:r>
      <w:r w:rsidR="00370473" w:rsidRPr="00370473">
        <w:rPr>
          <w:rFonts w:asciiTheme="minorHAnsi" w:hAnsiTheme="minorHAnsi" w:cstheme="minorHAnsi"/>
          <w:lang w:val="en-US"/>
        </w:rPr>
        <w:t>, green and blue color means surface evapotranspiration d</w:t>
      </w:r>
      <w:r w:rsidR="00370473">
        <w:rPr>
          <w:rFonts w:asciiTheme="minorHAnsi" w:hAnsiTheme="minorHAnsi" w:cstheme="minorHAnsi"/>
          <w:lang w:val="en-US"/>
        </w:rPr>
        <w:t xml:space="preserve">uring the </w:t>
      </w:r>
      <w:r w:rsidR="00370473" w:rsidRPr="00370473">
        <w:rPr>
          <w:rFonts w:asciiTheme="minorHAnsi" w:hAnsiTheme="minorHAnsi" w:cstheme="minorHAnsi"/>
          <w:lang w:val="en-US"/>
        </w:rPr>
        <w:t>monitoring period is higher than</w:t>
      </w:r>
      <w:r w:rsidR="00370473">
        <w:rPr>
          <w:rFonts w:asciiTheme="minorHAnsi" w:hAnsiTheme="minorHAnsi" w:cstheme="minorHAnsi"/>
          <w:lang w:val="en-US"/>
        </w:rPr>
        <w:t xml:space="preserve"> the average evapotranspiration;</w:t>
      </w:r>
      <w:r w:rsidR="00370473" w:rsidRPr="00370473">
        <w:rPr>
          <w:rFonts w:asciiTheme="minorHAnsi" w:hAnsiTheme="minorHAnsi" w:cstheme="minorHAnsi"/>
          <w:lang w:val="en-US"/>
        </w:rPr>
        <w:t xml:space="preserve"> it shows that water s</w:t>
      </w:r>
      <w:r w:rsidR="00370473">
        <w:rPr>
          <w:rFonts w:asciiTheme="minorHAnsi" w:hAnsiTheme="minorHAnsi" w:cstheme="minorHAnsi"/>
          <w:lang w:val="en-US"/>
        </w:rPr>
        <w:t>upply of land surface is enough</w:t>
      </w:r>
      <w:r w:rsidR="00370473" w:rsidRPr="00370473">
        <w:rPr>
          <w:rFonts w:asciiTheme="minorHAnsi" w:hAnsiTheme="minorHAnsi" w:cstheme="minorHAnsi"/>
          <w:lang w:val="en-US"/>
        </w:rPr>
        <w:t xml:space="preserve"> </w:t>
      </w:r>
      <w:r w:rsidR="00370473">
        <w:rPr>
          <w:rFonts w:asciiTheme="minorHAnsi" w:hAnsiTheme="minorHAnsi" w:cstheme="minorHAnsi"/>
          <w:lang w:val="en-US"/>
        </w:rPr>
        <w:t>(</w:t>
      </w:r>
      <w:r w:rsidR="00370473" w:rsidRPr="00370473">
        <w:rPr>
          <w:rFonts w:asciiTheme="minorHAnsi" w:hAnsiTheme="minorHAnsi" w:cstheme="minorHAnsi"/>
          <w:lang w:val="en-US"/>
        </w:rPr>
        <w:t>the deeper the color, the wetter</w:t>
      </w:r>
      <w:r w:rsidR="00370473">
        <w:rPr>
          <w:rFonts w:asciiTheme="minorHAnsi" w:hAnsiTheme="minorHAnsi" w:cstheme="minorHAnsi"/>
          <w:lang w:val="en-US"/>
        </w:rPr>
        <w:t>)</w:t>
      </w:r>
      <w:r w:rsidR="00370473" w:rsidRPr="00370473">
        <w:rPr>
          <w:rFonts w:asciiTheme="minorHAnsi" w:hAnsiTheme="minorHAnsi" w:cstheme="minorHAnsi"/>
          <w:lang w:val="en-US"/>
        </w:rPr>
        <w:t>.</w:t>
      </w:r>
      <w:r w:rsidR="00370473" w:rsidRPr="00370473">
        <w:rPr>
          <w:rFonts w:asciiTheme="minorHAnsi" w:hAnsiTheme="minorHAnsi" w:cstheme="minorHAnsi"/>
          <w:lang w:val="en-GB"/>
        </w:rPr>
        <w:t xml:space="preserve"> </w:t>
      </w:r>
    </w:p>
    <w:p w:rsidR="00A16C71" w:rsidRDefault="00A16C71" w:rsidP="00A16C71"/>
    <w:p w:rsidR="00A2067C" w:rsidRDefault="00A2067C" w:rsidP="00A2067C">
      <w:pPr>
        <w:keepNext/>
      </w:pPr>
      <w:r w:rsidRPr="00A2067C">
        <w:rPr>
          <w:noProof/>
          <w:lang w:val="en-US" w:eastAsia="en-US"/>
        </w:rPr>
        <w:drawing>
          <wp:inline distT="0" distB="0" distL="0" distR="0">
            <wp:extent cx="2987581" cy="2962800"/>
            <wp:effectExtent l="19050" t="0" r="3269" b="0"/>
            <wp:docPr id="28" name="Picture 2" descr="2015年6月7日-6月16日_地表蒸散距平_华北黄淮.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 name="图片 3" descr="2015年6月7日-6月16日_地表蒸散距平_华北黄淮.png"/>
                    <pic:cNvPicPr>
                      <a:picLocks noChangeAspect="1"/>
                    </pic:cNvPicPr>
                  </pic:nvPicPr>
                  <pic:blipFill>
                    <a:blip r:embed="rId65" cstate="print"/>
                    <a:srcRect/>
                    <a:stretch>
                      <a:fillRect/>
                    </a:stretch>
                  </pic:blipFill>
                  <pic:spPr bwMode="auto">
                    <a:xfrm>
                      <a:off x="0" y="0"/>
                      <a:ext cx="2987581" cy="2962800"/>
                    </a:xfrm>
                    <a:prstGeom prst="rect">
                      <a:avLst/>
                    </a:prstGeom>
                    <a:noFill/>
                    <a:ln w="9525">
                      <a:noFill/>
                      <a:miter lim="800000"/>
                      <a:headEnd/>
                      <a:tailEnd/>
                    </a:ln>
                  </pic:spPr>
                </pic:pic>
              </a:graphicData>
            </a:graphic>
          </wp:inline>
        </w:drawing>
      </w:r>
      <w:r w:rsidRPr="00A2067C">
        <w:rPr>
          <w:noProof/>
          <w:lang w:val="en-US" w:eastAsia="en-US"/>
        </w:rPr>
        <w:drawing>
          <wp:inline distT="0" distB="0" distL="0" distR="0">
            <wp:extent cx="3012274" cy="2988000"/>
            <wp:effectExtent l="19050" t="0" r="0" b="0"/>
            <wp:docPr id="39" name="Picture 3" descr="2015年6月15日-6月24日_地表蒸散距平_华北黄淮.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2015年6月15日-6月24日_地表蒸散距平_华北黄淮.png"/>
                    <pic:cNvPicPr>
                      <a:picLocks noChangeAspect="1" noChangeArrowheads="1"/>
                    </pic:cNvPicPr>
                  </pic:nvPicPr>
                  <pic:blipFill>
                    <a:blip r:embed="rId66" cstate="print"/>
                    <a:srcRect/>
                    <a:stretch>
                      <a:fillRect/>
                    </a:stretch>
                  </pic:blipFill>
                  <pic:spPr bwMode="auto">
                    <a:xfrm>
                      <a:off x="0" y="0"/>
                      <a:ext cx="3012274" cy="2988000"/>
                    </a:xfrm>
                    <a:prstGeom prst="rect">
                      <a:avLst/>
                    </a:prstGeom>
                    <a:noFill/>
                  </pic:spPr>
                </pic:pic>
              </a:graphicData>
            </a:graphic>
          </wp:inline>
        </w:drawing>
      </w:r>
    </w:p>
    <w:p w:rsidR="00D20DB3" w:rsidRDefault="00A2067C" w:rsidP="00BF6613">
      <w:pPr>
        <w:pStyle w:val="Caption"/>
        <w:jc w:val="center"/>
        <w:rPr>
          <w:rFonts w:asciiTheme="minorHAnsi" w:hAnsiTheme="minorHAnsi" w:cstheme="minorHAnsi"/>
        </w:rPr>
      </w:pPr>
      <w:bookmarkStart w:id="59" w:name="_Toc460923890"/>
      <w:r>
        <w:t xml:space="preserve">Figure </w:t>
      </w:r>
      <w:r w:rsidR="00E27A82">
        <w:fldChar w:fldCharType="begin"/>
      </w:r>
      <w:r w:rsidR="002D15AB">
        <w:instrText xml:space="preserve"> SEQ Figure \* ARABIC </w:instrText>
      </w:r>
      <w:r w:rsidR="00E27A82">
        <w:fldChar w:fldCharType="separate"/>
      </w:r>
      <w:r w:rsidR="00ED66C2">
        <w:rPr>
          <w:noProof/>
        </w:rPr>
        <w:t>33</w:t>
      </w:r>
      <w:r w:rsidR="00E27A82">
        <w:fldChar w:fldCharType="end"/>
      </w:r>
      <w:r w:rsidR="00BF6613">
        <w:t>:</w:t>
      </w:r>
      <w:r>
        <w:t xml:space="preserve"> Drought monitoring in China using FY-2</w:t>
      </w:r>
      <w:r w:rsidR="00370473">
        <w:t xml:space="preserve">. </w:t>
      </w:r>
      <w:r w:rsidR="00370473" w:rsidRPr="00370473">
        <w:rPr>
          <w:lang w:val="en-US"/>
        </w:rPr>
        <w:t>FY-2D Percentage of  evapotranspiration anomaly in North of China and Huanghuai Region</w:t>
      </w:r>
      <w:r w:rsidR="00370473">
        <w:rPr>
          <w:lang w:val="en-GB"/>
        </w:rPr>
        <w:t xml:space="preserve"> </w:t>
      </w:r>
      <w:r w:rsidR="00370473" w:rsidRPr="00370473">
        <w:rPr>
          <w:lang w:val="en-US"/>
        </w:rPr>
        <w:t>Jun.7-Jun.16,2015</w:t>
      </w:r>
      <w:r w:rsidR="00370473" w:rsidRPr="00370473">
        <w:rPr>
          <w:lang w:val="en-GB"/>
        </w:rPr>
        <w:t xml:space="preserve"> </w:t>
      </w:r>
      <w:r w:rsidR="00370473">
        <w:rPr>
          <w:lang w:val="en-GB"/>
        </w:rPr>
        <w:t xml:space="preserve">(left) and </w:t>
      </w:r>
      <w:r w:rsidR="00370473" w:rsidRPr="00370473">
        <w:rPr>
          <w:lang w:val="en-US"/>
        </w:rPr>
        <w:t>Jun.15-Jun.24,2015</w:t>
      </w:r>
      <w:r w:rsidR="00370473">
        <w:rPr>
          <w:lang w:val="en-GB"/>
        </w:rPr>
        <w:t xml:space="preserve"> (right). Areas in white are cloud/snow, areas in light blue water. Colour scale ranging from black to dark blue is in percentage.</w:t>
      </w:r>
      <w:r w:rsidR="00E11AAE" w:rsidDel="00370473">
        <w:t xml:space="preserve"> </w:t>
      </w:r>
      <w:r w:rsidR="00E11AAE" w:rsidRPr="00E11AAE">
        <w:rPr>
          <w:shd w:val="clear" w:color="auto" w:fill="FFFFFF"/>
        </w:rPr>
        <w:t xml:space="preserve"> </w:t>
      </w:r>
      <w:r w:rsidR="00E11AAE">
        <w:rPr>
          <w:shd w:val="clear" w:color="auto" w:fill="FFFFFF"/>
        </w:rPr>
        <w:t>(CGMS-44-C</w:t>
      </w:r>
      <w:r w:rsidR="00E11AAE" w:rsidRPr="001E5C53">
        <w:rPr>
          <w:shd w:val="clear" w:color="auto" w:fill="FFFFFF"/>
        </w:rPr>
        <w:t>MA-WP-01</w:t>
      </w:r>
      <w:r w:rsidR="005834B0">
        <w:rPr>
          <w:rFonts w:asciiTheme="minorHAnsi" w:hAnsiTheme="minorHAnsi" w:cstheme="minorHAnsi"/>
        </w:rPr>
        <w:t>, 2016)</w:t>
      </w:r>
      <w:r w:rsidR="00092EE6">
        <w:rPr>
          <w:rFonts w:asciiTheme="minorHAnsi" w:hAnsiTheme="minorHAnsi" w:cstheme="minorHAnsi"/>
        </w:rPr>
        <w:t>.</w:t>
      </w:r>
      <w:bookmarkEnd w:id="59"/>
    </w:p>
    <w:p w:rsidR="00E1189A" w:rsidRPr="00A979D9" w:rsidRDefault="00E1189A" w:rsidP="00E1189A">
      <w:pPr>
        <w:pStyle w:val="CommentText"/>
        <w:rPr>
          <w:color w:val="FF0000"/>
          <w:sz w:val="22"/>
          <w:szCs w:val="22"/>
        </w:rPr>
      </w:pPr>
      <w:r w:rsidRPr="00A979D9">
        <w:rPr>
          <w:color w:val="FF0000"/>
          <w:sz w:val="22"/>
          <w:szCs w:val="22"/>
        </w:rPr>
        <w:t>TBD: If possible provide a version of this figure with English labelling or instead a brief explanation in the caption, e.g. what parameter is shown and how should the colour scale be interpreted.</w:t>
      </w:r>
    </w:p>
    <w:p w:rsidR="00E1189A" w:rsidRPr="00E1189A" w:rsidRDefault="00E1189A" w:rsidP="00E1189A">
      <w:pPr>
        <w:pStyle w:val="CommentText"/>
        <w:rPr>
          <w:color w:val="FF0000"/>
        </w:rPr>
      </w:pPr>
    </w:p>
    <w:p w:rsidR="00A2067C" w:rsidRDefault="00A2067C" w:rsidP="00A2067C">
      <w:pPr>
        <w:rPr>
          <w:lang w:val="en-GB"/>
        </w:rPr>
      </w:pPr>
      <w:r w:rsidRPr="00996A79">
        <w:rPr>
          <w:lang w:val="en-GB"/>
        </w:rPr>
        <w:t xml:space="preserve">Agricultural systems are climate-sensitive, and conventional surface instrument networks are sparse and sometimes with significant latency, in particular in developing countries. Satellite monitoring therefore provides the potential for global efficient and timely monitoring of water balance and deficits and can be used to supplement coarser resolution data from weather and precipitation networks to assess drought conditions. Whilst traditionally polar orbiting satellite data would be used, the new generation geostationary satellites provide the potential to support evapotranspiration and water stress modelling </w:t>
      </w:r>
      <w:r>
        <w:rPr>
          <w:lang w:val="en-GB"/>
        </w:rPr>
        <w:t>as well as</w:t>
      </w:r>
      <w:r w:rsidRPr="00996A79">
        <w:rPr>
          <w:lang w:val="en-GB"/>
        </w:rPr>
        <w:t xml:space="preserve"> drought and water stress monitoring. Because land-surface temperature (LST) is strongly modulated by evaporation, thermal</w:t>
      </w:r>
      <w:r w:rsidR="00370473">
        <w:rPr>
          <w:lang w:val="en-GB"/>
        </w:rPr>
        <w:t xml:space="preserve"> </w:t>
      </w:r>
      <w:r w:rsidRPr="00996A79">
        <w:rPr>
          <w:lang w:val="en-GB"/>
        </w:rPr>
        <w:t xml:space="preserve">infrared (TIR) remote sensing data carry valuable information regarding surface moisture availability and therefore have been widely used to map ET, drought, and vegetation stress. Signatures of vegetation stress are manifested in the LST signal before any deterioration of vegetation cover occurs, for example as indicated in the Normalized Difference Vegetation Index (NDVI), so TIR-based drought indices can provide an effective early warning of impending agricultural drought. </w:t>
      </w:r>
    </w:p>
    <w:p w:rsidR="007904A3" w:rsidRDefault="007904A3" w:rsidP="007904A3">
      <w:pPr>
        <w:keepNext/>
        <w:jc w:val="center"/>
      </w:pPr>
      <w:r w:rsidRPr="007904A3">
        <w:rPr>
          <w:noProof/>
          <w:lang w:val="en-US" w:eastAsia="en-US"/>
        </w:rPr>
        <w:drawing>
          <wp:inline distT="0" distB="0" distL="0" distR="0">
            <wp:extent cx="4098580" cy="3533241"/>
            <wp:effectExtent l="19050" t="0" r="0" b="0"/>
            <wp:docPr id="40" name="Picture 25" descr="current_02We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rrent_02Week.png"/>
                    <pic:cNvPicPr/>
                  </pic:nvPicPr>
                  <pic:blipFill>
                    <a:blip r:embed="rId67" cstate="print"/>
                    <a:stretch>
                      <a:fillRect/>
                    </a:stretch>
                  </pic:blipFill>
                  <pic:spPr>
                    <a:xfrm>
                      <a:off x="0" y="0"/>
                      <a:ext cx="4106084" cy="3539710"/>
                    </a:xfrm>
                    <a:prstGeom prst="rect">
                      <a:avLst/>
                    </a:prstGeom>
                  </pic:spPr>
                </pic:pic>
              </a:graphicData>
            </a:graphic>
          </wp:inline>
        </w:drawing>
      </w:r>
    </w:p>
    <w:p w:rsidR="007904A3" w:rsidRPr="007904A3" w:rsidRDefault="007904A3" w:rsidP="007904A3">
      <w:pPr>
        <w:pStyle w:val="Caption"/>
        <w:jc w:val="center"/>
        <w:rPr>
          <w:lang w:val="en-GB"/>
        </w:rPr>
      </w:pPr>
      <w:bookmarkStart w:id="60" w:name="_Toc460923891"/>
      <w:r>
        <w:t xml:space="preserve">Figure </w:t>
      </w:r>
      <w:r w:rsidR="00E27A82">
        <w:fldChar w:fldCharType="begin"/>
      </w:r>
      <w:r w:rsidR="002D15AB">
        <w:instrText xml:space="preserve"> SEQ Figure \* ARABIC </w:instrText>
      </w:r>
      <w:r w:rsidR="00E27A82">
        <w:fldChar w:fldCharType="separate"/>
      </w:r>
      <w:r w:rsidR="00ED66C2">
        <w:rPr>
          <w:noProof/>
        </w:rPr>
        <w:t>34</w:t>
      </w:r>
      <w:r w:rsidR="00E27A82">
        <w:fldChar w:fldCharType="end"/>
      </w:r>
      <w:r w:rsidR="00BF6613">
        <w:t>:</w:t>
      </w:r>
      <w:r>
        <w:t xml:space="preserve"> GOES evapotranspiration GET-FD product. [</w:t>
      </w:r>
      <w:r w:rsidRPr="00147B3B">
        <w:t>http://www.ospo.noaa.gov/Products/land/getd/</w:t>
      </w:r>
      <w:r>
        <w:t>].</w:t>
      </w:r>
      <w:bookmarkEnd w:id="60"/>
    </w:p>
    <w:p w:rsidR="007904A3" w:rsidRDefault="007904A3" w:rsidP="007904A3">
      <w:r>
        <w:t xml:space="preserve">The </w:t>
      </w:r>
      <w:r w:rsidRPr="00996A79">
        <w:t>GOES Evapotranspiration and Drought (GET-D) products are derived from the Atmosphere-Land Exchange Inversion model (ALEXI). ALEXI computes principle surface energy fluxes, including Evapotranspiration (ET), which is a critical boundary condition to weather and hydrologic mode</w:t>
      </w:r>
      <w:r w:rsidR="00370473">
        <w:t>l</w:t>
      </w:r>
      <w:r w:rsidRPr="00996A79">
        <w:t xml:space="preserve">ling, and a quantity required for regional water resource management </w:t>
      </w:r>
    </w:p>
    <w:p w:rsidR="007904A3" w:rsidRPr="00996A79" w:rsidRDefault="007904A3" w:rsidP="007904A3">
      <w:r w:rsidRPr="00996A79">
        <w:t>(http://www.ospo.noaa.gov/Products/land/getd/index.html).</w:t>
      </w:r>
    </w:p>
    <w:p w:rsidR="007904A3" w:rsidRDefault="007904A3" w:rsidP="007904A3">
      <w:r>
        <w:t>S</w:t>
      </w:r>
      <w:r w:rsidRPr="00996A79">
        <w:t>atellite derived ET data products are critical to improving land surface model simulations and in order to improve numerical weather/climate forecasts; more accurate and complete ET and drought data products are critical for agricultural management forecasts</w:t>
      </w:r>
      <w:r>
        <w:t>.</w:t>
      </w:r>
    </w:p>
    <w:p w:rsidR="007904A3" w:rsidRDefault="007904A3" w:rsidP="007904A3">
      <w:pPr>
        <w:keepNext/>
        <w:jc w:val="center"/>
      </w:pPr>
      <w:r w:rsidRPr="007904A3">
        <w:rPr>
          <w:noProof/>
          <w:lang w:val="en-US" w:eastAsia="en-US"/>
        </w:rPr>
        <w:drawing>
          <wp:inline distT="0" distB="0" distL="0" distR="0">
            <wp:extent cx="6032955" cy="2867558"/>
            <wp:effectExtent l="19050" t="0" r="5895" b="0"/>
            <wp:docPr id="41" name="Picture 1" descr="EMB00000fd0bc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156682048" descr="EMB00000fd0bcb7"/>
                    <pic:cNvPicPr>
                      <a:picLocks noChangeAspect="1" noChangeArrowheads="1"/>
                    </pic:cNvPicPr>
                  </pic:nvPicPr>
                  <pic:blipFill rotWithShape="1">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249" t="4427" r="14641" b="3419"/>
                    <a:stretch/>
                  </pic:blipFill>
                  <pic:spPr bwMode="auto">
                    <a:xfrm>
                      <a:off x="0" y="0"/>
                      <a:ext cx="6032955" cy="2867558"/>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inline>
        </w:drawing>
      </w:r>
    </w:p>
    <w:p w:rsidR="007904A3" w:rsidRPr="007904A3" w:rsidRDefault="007904A3" w:rsidP="00C3580E">
      <w:pPr>
        <w:pStyle w:val="Caption"/>
        <w:spacing w:before="0"/>
        <w:jc w:val="center"/>
      </w:pPr>
      <w:bookmarkStart w:id="61" w:name="_Toc460923892"/>
      <w:r>
        <w:t xml:space="preserve">Figure </w:t>
      </w:r>
      <w:r w:rsidR="00E27A82">
        <w:fldChar w:fldCharType="begin"/>
      </w:r>
      <w:r w:rsidR="002D15AB">
        <w:instrText xml:space="preserve"> SEQ Figure \* ARABIC </w:instrText>
      </w:r>
      <w:r w:rsidR="00E27A82">
        <w:fldChar w:fldCharType="separate"/>
      </w:r>
      <w:r w:rsidR="00ED66C2">
        <w:rPr>
          <w:noProof/>
        </w:rPr>
        <w:t>35</w:t>
      </w:r>
      <w:r w:rsidR="00E27A82">
        <w:fldChar w:fldCharType="end"/>
      </w:r>
      <w:r w:rsidR="00BF6613">
        <w:t>:</w:t>
      </w:r>
      <w:r>
        <w:t xml:space="preserve"> </w:t>
      </w:r>
      <w:r w:rsidRPr="00996A79">
        <w:rPr>
          <w:lang w:val="en-GB"/>
        </w:rPr>
        <w:t>D</w:t>
      </w:r>
      <w:r w:rsidRPr="00996A79">
        <w:t xml:space="preserve">rought determination using VHI (Vegetation Health </w:t>
      </w:r>
      <w:r w:rsidR="00B335D7" w:rsidRPr="00B335D7">
        <w:rPr>
          <w:rFonts w:asciiTheme="minorHAnsi" w:hAnsiTheme="minorHAnsi" w:cstheme="minorHAnsi"/>
          <w:sz w:val="22"/>
          <w:szCs w:val="22"/>
        </w:rPr>
        <w:t>Index) (</w:t>
      </w:r>
      <w:r w:rsidR="00B335D7" w:rsidRPr="00B335D7">
        <w:rPr>
          <w:rFonts w:asciiTheme="minorHAnsi" w:hAnsiTheme="minorHAnsi" w:cstheme="minorHAnsi"/>
          <w:szCs w:val="20"/>
          <w:shd w:val="clear" w:color="auto" w:fill="FFFFFF"/>
        </w:rPr>
        <w:t xml:space="preserve">CGMS-44-KMA-WP-01, </w:t>
      </w:r>
      <w:r w:rsidR="00B335D7" w:rsidRPr="00B335D7">
        <w:rPr>
          <w:rFonts w:asciiTheme="minorHAnsi" w:hAnsiTheme="minorHAnsi" w:cstheme="minorHAnsi"/>
          <w:szCs w:val="20"/>
          <w:lang w:val="en-GB"/>
        </w:rPr>
        <w:t>2016</w:t>
      </w:r>
      <w:r w:rsidR="00B335D7" w:rsidRPr="00B335D7">
        <w:rPr>
          <w:rFonts w:asciiTheme="minorHAnsi" w:hAnsiTheme="minorHAnsi" w:cstheme="minorHAnsi"/>
          <w:sz w:val="22"/>
          <w:szCs w:val="22"/>
          <w:lang w:val="en-GB"/>
        </w:rPr>
        <w:t>)</w:t>
      </w:r>
      <w:r w:rsidR="00BF6613">
        <w:rPr>
          <w:rFonts w:asciiTheme="minorHAnsi" w:hAnsiTheme="minorHAnsi" w:cstheme="minorHAnsi"/>
          <w:sz w:val="22"/>
          <w:szCs w:val="22"/>
          <w:lang w:val="en-GB"/>
        </w:rPr>
        <w:t>.</w:t>
      </w:r>
      <w:bookmarkEnd w:id="61"/>
    </w:p>
    <w:p w:rsidR="007904A3" w:rsidRDefault="007904A3" w:rsidP="007904A3">
      <w:pPr>
        <w:rPr>
          <w:lang w:val="en-GB"/>
        </w:rPr>
      </w:pPr>
      <w:r>
        <w:rPr>
          <w:lang w:val="en-GB"/>
        </w:rPr>
        <w:t xml:space="preserve">Flood and standing water monitoring can therefore essentially contribute not only to </w:t>
      </w:r>
      <w:r w:rsidRPr="00BE1B94">
        <w:rPr>
          <w:b/>
          <w:lang w:val="en-GB"/>
        </w:rPr>
        <w:t>SBA/Disasters</w:t>
      </w:r>
      <w:r>
        <w:rPr>
          <w:lang w:val="en-GB"/>
        </w:rPr>
        <w:t xml:space="preserve">, but also support </w:t>
      </w:r>
      <w:r w:rsidRPr="00BE1B94">
        <w:rPr>
          <w:b/>
          <w:lang w:val="en-GB"/>
        </w:rPr>
        <w:t>SBA/Agriculture</w:t>
      </w:r>
      <w:r>
        <w:rPr>
          <w:lang w:val="en-GB"/>
        </w:rPr>
        <w:t xml:space="preserve"> and </w:t>
      </w:r>
      <w:r w:rsidRPr="00BE1B94">
        <w:rPr>
          <w:b/>
          <w:lang w:val="en-GB"/>
        </w:rPr>
        <w:t>SBA/Ecosystems</w:t>
      </w:r>
      <w:r>
        <w:rPr>
          <w:lang w:val="en-GB"/>
        </w:rPr>
        <w:t>.</w:t>
      </w:r>
    </w:p>
    <w:p w:rsidR="003B3948" w:rsidRPr="00F8592A" w:rsidRDefault="003B3948" w:rsidP="003B3948">
      <w:pPr>
        <w:pStyle w:val="Heading3"/>
        <w:rPr>
          <w:rFonts w:ascii="Arial" w:hAnsi="Arial" w:cs="Arial"/>
          <w:color w:val="000000"/>
          <w:sz w:val="22"/>
          <w:szCs w:val="22"/>
          <w:lang w:val="en-GB"/>
        </w:rPr>
      </w:pPr>
      <w:r w:rsidRPr="00F8592A">
        <w:rPr>
          <w:rFonts w:ascii="Arial" w:hAnsi="Arial" w:cs="Arial"/>
          <w:color w:val="000000"/>
          <w:sz w:val="22"/>
          <w:szCs w:val="22"/>
          <w:lang w:val="en-GB"/>
        </w:rPr>
        <w:t>Epidemiology</w:t>
      </w:r>
    </w:p>
    <w:p w:rsidR="003B3948" w:rsidRPr="00F8592A" w:rsidRDefault="003B3948" w:rsidP="003B3948">
      <w:r w:rsidRPr="00F8592A">
        <w:t>Associations between satellite-derived environmental variables such as temperature, humidity, and land cover type and vector density have become standard techniques to identify and characterize habitats of disease causing vectors such as mosquitoes and ticks. There has been a significant evolution in model</w:t>
      </w:r>
      <w:r w:rsidR="00577FE4">
        <w:t>l</w:t>
      </w:r>
      <w:r w:rsidRPr="00F8592A">
        <w:t>ing approaches over the past twenty years to map vector presence/absence and abundance, to create risk maps for epidemiology.  Earlier methods relied on statistical correlations between time series of Normalized Difference Vegetation Index (NDVI), and Land Surface Temperature (LST) measurements from AVHRR with entomological and epidemiological data because of the availability of a long term global AVHRR data set from the late 1970s.  A few studies also used Cold Cloud Duration (CCD) from Meteosat satellites as a proxy for rainfall along with AVHRR data.  The next generation of geostationary satellites will provide improved satellite based environmental variables for epidemiology and provide new opportunities for model</w:t>
      </w:r>
      <w:r w:rsidR="00092EE6">
        <w:t>l</w:t>
      </w:r>
      <w:r w:rsidRPr="00F8592A">
        <w:t>ing vector borne diseases.  Frequent temporal resolution and multispectral observations will improve cloud free observations of land such as NDVI and LST compared to polar orbiting satellites especially in tropical areas. The enhanced spectral measurements in the infrared (IR) bands will improve rainfall estimates by providing increased sensitivity to cloud top properties such as phase and particle size compared to legacy geostationary sensors. When geostationary IR measurements are combined with microwave measurements from polar satellites, the precipitation estimates are better than those that are derived from legacy geostationary IR measurements alone, and it results in more frequent and low latency estimates of rainfall, especially in data sparse regions that do not have a dense network of either ground based radar or rain gauges.</w:t>
      </w:r>
    </w:p>
    <w:p w:rsidR="003B3948" w:rsidRDefault="003B3948" w:rsidP="00C3580E">
      <w:pPr>
        <w:keepNext/>
        <w:jc w:val="center"/>
      </w:pPr>
      <w:r w:rsidRPr="003B3948">
        <w:rPr>
          <w:noProof/>
          <w:lang w:val="en-US" w:eastAsia="en-US"/>
        </w:rPr>
        <w:drawing>
          <wp:inline distT="0" distB="0" distL="0" distR="0">
            <wp:extent cx="2721254" cy="2880793"/>
            <wp:effectExtent l="19050" t="0" r="2896" b="0"/>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ecipitation.jp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763496" cy="2925511"/>
                    </a:xfrm>
                    <a:prstGeom prst="rect">
                      <a:avLst/>
                    </a:prstGeom>
                    <a:noFill/>
                    <a:ln>
                      <a:noFill/>
                    </a:ln>
                  </pic:spPr>
                </pic:pic>
              </a:graphicData>
            </a:graphic>
          </wp:inline>
        </w:drawing>
      </w:r>
      <w:r w:rsidRPr="003B3948">
        <w:rPr>
          <w:noProof/>
          <w:lang w:val="en-US" w:eastAsia="en-US"/>
        </w:rPr>
        <w:drawing>
          <wp:inline distT="0" distB="0" distL="0" distR="0">
            <wp:extent cx="2622942" cy="2845443"/>
            <wp:effectExtent l="19050" t="0" r="5958" b="0"/>
            <wp:docPr id="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ntialias+true+psdef+.jpg"/>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727753" cy="2959145"/>
                    </a:xfrm>
                    <a:prstGeom prst="rect">
                      <a:avLst/>
                    </a:prstGeom>
                  </pic:spPr>
                </pic:pic>
              </a:graphicData>
            </a:graphic>
          </wp:inline>
        </w:drawing>
      </w:r>
    </w:p>
    <w:p w:rsidR="006D7041" w:rsidRDefault="003B3948" w:rsidP="00BF6613">
      <w:pPr>
        <w:pStyle w:val="Caption"/>
        <w:jc w:val="center"/>
        <w:rPr>
          <w:rFonts w:asciiTheme="minorHAnsi" w:hAnsiTheme="minorHAnsi"/>
        </w:rPr>
      </w:pPr>
      <w:bookmarkStart w:id="62" w:name="_Toc460923893"/>
      <w:r>
        <w:t xml:space="preserve">Figure </w:t>
      </w:r>
      <w:r w:rsidR="00E27A82">
        <w:fldChar w:fldCharType="begin"/>
      </w:r>
      <w:r w:rsidR="002D15AB">
        <w:instrText xml:space="preserve"> SEQ Figure \* ARABIC </w:instrText>
      </w:r>
      <w:r w:rsidR="00E27A82">
        <w:fldChar w:fldCharType="separate"/>
      </w:r>
      <w:r w:rsidR="00ED66C2">
        <w:rPr>
          <w:noProof/>
        </w:rPr>
        <w:t>36</w:t>
      </w:r>
      <w:r w:rsidR="00E27A82">
        <w:fldChar w:fldCharType="end"/>
      </w:r>
      <w:r w:rsidR="00BF6613">
        <w:t>:</w:t>
      </w:r>
      <w:r w:rsidRPr="006D7041">
        <w:rPr>
          <w:rFonts w:asciiTheme="minorHAnsi" w:hAnsiTheme="minorHAnsi"/>
        </w:rPr>
        <w:t xml:space="preserve"> </w:t>
      </w:r>
      <w:r w:rsidR="006D7041" w:rsidRPr="006D7041">
        <w:rPr>
          <w:rFonts w:asciiTheme="minorHAnsi" w:hAnsiTheme="minorHAnsi"/>
        </w:rPr>
        <w:t>Dekadal (10-day) precipitation estimates from NOAA’s Climate Prediction Center derived from merging measurements from three satellites sensors (IR from Geostationary every 30 minutes and passive microwave from two polar orbiters up to four times a day) and rain gauge measurements (left</w:t>
      </w:r>
      <w:r w:rsidR="00370473">
        <w:rPr>
          <w:rFonts w:asciiTheme="minorHAnsi" w:hAnsiTheme="minorHAnsi"/>
        </w:rPr>
        <w:t xml:space="preserve">, </w:t>
      </w:r>
      <w:r w:rsidR="006D7041" w:rsidRPr="006D7041">
        <w:rPr>
          <w:rFonts w:asciiTheme="minorHAnsi" w:hAnsiTheme="minorHAnsi"/>
        </w:rPr>
        <w:t>Xie, and Arkin, 1996</w:t>
      </w:r>
      <w:r w:rsidR="00370473">
        <w:rPr>
          <w:rFonts w:asciiTheme="minorHAnsi" w:hAnsiTheme="minorHAnsi"/>
        </w:rPr>
        <w:t>)</w:t>
      </w:r>
      <w:r w:rsidR="00577FE4">
        <w:rPr>
          <w:rFonts w:asciiTheme="minorHAnsi" w:hAnsiTheme="minorHAnsi"/>
        </w:rPr>
        <w:t xml:space="preserve"> </w:t>
      </w:r>
      <w:r w:rsidR="006D7041" w:rsidRPr="006D7041">
        <w:rPr>
          <w:rFonts w:asciiTheme="minorHAnsi" w:hAnsiTheme="minorHAnsi"/>
        </w:rPr>
        <w:t xml:space="preserve">and </w:t>
      </w:r>
      <w:r w:rsidR="00370473">
        <w:rPr>
          <w:rFonts w:asciiTheme="minorHAnsi" w:hAnsiTheme="minorHAnsi"/>
        </w:rPr>
        <w:t xml:space="preserve">Vectorial Capacity (right, </w:t>
      </w:r>
      <w:r w:rsidR="006D7041" w:rsidRPr="006D7041">
        <w:rPr>
          <w:rFonts w:asciiTheme="minorHAnsi" w:hAnsiTheme="minorHAnsi"/>
        </w:rPr>
        <w:t>Ceccato</w:t>
      </w:r>
      <w:r w:rsidR="00577FE4">
        <w:rPr>
          <w:rFonts w:asciiTheme="minorHAnsi" w:hAnsiTheme="minorHAnsi"/>
        </w:rPr>
        <w:t xml:space="preserve"> </w:t>
      </w:r>
      <w:r w:rsidR="00092EE6">
        <w:rPr>
          <w:rFonts w:asciiTheme="minorHAnsi" w:hAnsiTheme="minorHAnsi"/>
        </w:rPr>
        <w:t>e</w:t>
      </w:r>
      <w:r w:rsidR="00370473">
        <w:rPr>
          <w:rFonts w:asciiTheme="minorHAnsi" w:hAnsiTheme="minorHAnsi"/>
        </w:rPr>
        <w:t>t al. 2012)</w:t>
      </w:r>
      <w:r w:rsidR="00092EE6">
        <w:rPr>
          <w:rFonts w:asciiTheme="minorHAnsi" w:hAnsiTheme="minorHAnsi"/>
        </w:rPr>
        <w:t>.</w:t>
      </w:r>
      <w:bookmarkEnd w:id="62"/>
    </w:p>
    <w:p w:rsidR="00D10B6F" w:rsidRPr="00D10B6F" w:rsidRDefault="00D10B6F" w:rsidP="00D10B6F">
      <w:r w:rsidRPr="00F8592A">
        <w:t>V</w:t>
      </w:r>
      <w:r>
        <w:t>ectorial Capacity</w:t>
      </w:r>
      <w:r w:rsidRPr="00F8592A">
        <w:t xml:space="preserve"> that defines precipitation and temperature as the limiting factors of malaria incidence is the daily rate at which future malaria inoculations could arise from a currently infected case. It is used as a convenient way to express malaria transmission risk or receptivity of an area to malaria.</w:t>
      </w:r>
      <w:r w:rsidRPr="00BB2300">
        <w:t xml:space="preserve"> </w:t>
      </w:r>
      <w:r w:rsidR="00370473">
        <w:t>(</w:t>
      </w:r>
      <w:r w:rsidRPr="00F8592A">
        <w:t xml:space="preserve">Grover-Kopec </w:t>
      </w:r>
      <w:r w:rsidR="00370473">
        <w:t xml:space="preserve">et al., </w:t>
      </w:r>
      <w:r>
        <w:t>2006</w:t>
      </w:r>
      <w:r w:rsidR="00370473">
        <w:t>)</w:t>
      </w:r>
    </w:p>
    <w:p w:rsidR="00D10B6F" w:rsidRPr="00D10B6F" w:rsidRDefault="00D10B6F" w:rsidP="00D10B6F">
      <w:r w:rsidRPr="00F8592A">
        <w:t>Next generation geostationary satellites will provide more rapid temporal update, higher spatial resolution and more channels which will improve the precipitation measurements.  A good example of this is the r</w:t>
      </w:r>
      <w:r>
        <w:t>ecent JMA Himawari-8 satellite.</w:t>
      </w:r>
      <w:r w:rsidRPr="00F8592A">
        <w:t xml:space="preserve"> Additionally, the future geostationary satellites (beginning with GOES-R in late 2016) will fly lightning mappers which will greatly improve the precipitation estimation by better delineating regions of active convective rainfall.</w:t>
      </w:r>
      <w:r>
        <w:t xml:space="preserve"> Therefore the data will have a direct impact on </w:t>
      </w:r>
      <w:r w:rsidRPr="00513615">
        <w:rPr>
          <w:b/>
        </w:rPr>
        <w:t>SBA/Health</w:t>
      </w:r>
      <w:r>
        <w:t>.</w:t>
      </w:r>
    </w:p>
    <w:p w:rsidR="007904A3" w:rsidRPr="00996A79" w:rsidRDefault="007904A3" w:rsidP="006D7041">
      <w:pPr>
        <w:pStyle w:val="Heading3"/>
      </w:pPr>
      <w:r w:rsidRPr="00996A79">
        <w:t>Albedo</w:t>
      </w:r>
    </w:p>
    <w:p w:rsidR="007904A3" w:rsidRPr="00996A79" w:rsidRDefault="007904A3" w:rsidP="007904A3">
      <w:pPr>
        <w:rPr>
          <w:lang w:val="en-GB"/>
        </w:rPr>
      </w:pPr>
      <w:r w:rsidRPr="00996A79">
        <w:t>Anthropogenic changes to the physical properties of the land surface can perturb the climate by modifying processes such as the fluxes of latent and sensible heat and the transfer of momentum from the atmosphere. Anthropogenic changes in the large-scale character of the vegetation covering the landscape (‘land cover’) can also affect physical properties such as surface albedo.</w:t>
      </w:r>
      <w:r w:rsidRPr="00996A79">
        <w:rPr>
          <w:lang w:val="en-GB"/>
        </w:rPr>
        <w:t xml:space="preserve"> Albedo is therefore inversely a good tool to monitor these changes as well as in general land use and can well depict regional changes and differences.</w:t>
      </w:r>
      <w:r>
        <w:rPr>
          <w:lang w:val="en-GB"/>
        </w:rPr>
        <w:t xml:space="preserve"> Albedo is also, through its direct control of the surface radiation budget, an important input to weather and climate models.</w:t>
      </w:r>
      <w:r w:rsidRPr="00996A79">
        <w:rPr>
          <w:lang w:val="en-GB"/>
        </w:rPr>
        <w:t xml:space="preserve"> Albedo is one of th</w:t>
      </w:r>
      <w:r>
        <w:rPr>
          <w:lang w:val="en-GB"/>
        </w:rPr>
        <w:t>e Essential Climate Varia</w:t>
      </w:r>
      <w:r w:rsidRPr="00996A79">
        <w:rPr>
          <w:lang w:val="en-GB"/>
        </w:rPr>
        <w:t>bles listed by GCOS and the requirement for long-term, global,</w:t>
      </w:r>
      <w:r w:rsidR="00593AC5">
        <w:rPr>
          <w:lang w:val="en-GB"/>
        </w:rPr>
        <w:t xml:space="preserve"> </w:t>
      </w:r>
      <w:r w:rsidRPr="00996A79">
        <w:rPr>
          <w:lang w:val="en-GB"/>
        </w:rPr>
        <w:t>homogeneous, and complete datasets is high.</w:t>
      </w:r>
      <w:r w:rsidR="00593AC5">
        <w:rPr>
          <w:lang w:val="en-GB"/>
        </w:rPr>
        <w:t xml:space="preserve"> </w:t>
      </w:r>
      <w:r>
        <w:rPr>
          <w:lang w:val="en-GB"/>
        </w:rPr>
        <w:t>The</w:t>
      </w:r>
      <w:r w:rsidRPr="00996A79">
        <w:rPr>
          <w:lang w:val="en-GB"/>
        </w:rPr>
        <w:t xml:space="preserve"> Sustained, Coordinated Processing of</w:t>
      </w:r>
      <w:r w:rsidR="00593AC5">
        <w:rPr>
          <w:lang w:val="en-GB"/>
        </w:rPr>
        <w:t xml:space="preserve"> </w:t>
      </w:r>
      <w:r w:rsidRPr="00996A79">
        <w:rPr>
          <w:lang w:val="en-GB"/>
        </w:rPr>
        <w:t>Environmental Satellite Data for Climate Monitoring</w:t>
      </w:r>
      <w:r w:rsidR="00EC3B30">
        <w:rPr>
          <w:lang w:val="en-GB"/>
        </w:rPr>
        <w:t xml:space="preserve"> </w:t>
      </w:r>
      <w:r w:rsidRPr="00996A79">
        <w:rPr>
          <w:lang w:val="en-GB"/>
        </w:rPr>
        <w:t xml:space="preserve">(SCOPE-CM) initiative aims </w:t>
      </w:r>
      <w:r>
        <w:rPr>
          <w:lang w:val="en-GB"/>
        </w:rPr>
        <w:t>at coordinating</w:t>
      </w:r>
      <w:r w:rsidR="00593AC5">
        <w:rPr>
          <w:lang w:val="en-GB"/>
        </w:rPr>
        <w:t xml:space="preserve"> </w:t>
      </w:r>
      <w:r w:rsidRPr="00996A79">
        <w:rPr>
          <w:lang w:val="en-GB"/>
        </w:rPr>
        <w:t>cooperation among operational space agencies. One of the data sets derived under SCOPE-CM is the land surface albedo.</w:t>
      </w:r>
      <w:r w:rsidR="00593AC5">
        <w:rPr>
          <w:lang w:val="en-GB"/>
        </w:rPr>
        <w:t xml:space="preserve"> </w:t>
      </w:r>
      <w:r>
        <w:rPr>
          <w:lang w:val="en-GB"/>
        </w:rPr>
        <w:t>Albedo</w:t>
      </w:r>
      <w:r w:rsidRPr="00996A79">
        <w:rPr>
          <w:lang w:val="en-GB"/>
        </w:rPr>
        <w:t xml:space="preserve"> changes in space and time, depending</w:t>
      </w:r>
      <w:r w:rsidR="00593AC5">
        <w:rPr>
          <w:lang w:val="en-GB"/>
        </w:rPr>
        <w:t xml:space="preserve"> </w:t>
      </w:r>
      <w:r w:rsidRPr="00996A79">
        <w:rPr>
          <w:lang w:val="en-GB"/>
        </w:rPr>
        <w:t>on both natural processes (vegetation growth, rain</w:t>
      </w:r>
      <w:r w:rsidR="00593AC5">
        <w:rPr>
          <w:lang w:val="en-GB"/>
        </w:rPr>
        <w:t xml:space="preserve"> </w:t>
      </w:r>
      <w:r w:rsidRPr="00996A79">
        <w:rPr>
          <w:lang w:val="en-GB"/>
        </w:rPr>
        <w:t>and snowfall and snow melting, wildfires, etc.) and</w:t>
      </w:r>
      <w:r w:rsidR="00593AC5">
        <w:rPr>
          <w:lang w:val="en-GB"/>
        </w:rPr>
        <w:t xml:space="preserve"> </w:t>
      </w:r>
      <w:r w:rsidRPr="00996A79">
        <w:rPr>
          <w:lang w:val="en-GB"/>
        </w:rPr>
        <w:t>human activities (forestation and deforestation,</w:t>
      </w:r>
      <w:r w:rsidR="00593AC5">
        <w:rPr>
          <w:lang w:val="en-GB"/>
        </w:rPr>
        <w:t xml:space="preserve"> </w:t>
      </w:r>
      <w:r w:rsidRPr="00996A79">
        <w:rPr>
          <w:lang w:val="en-GB"/>
        </w:rPr>
        <w:t>harvesting crops, anthropogenic fires, etc.). Ground</w:t>
      </w:r>
      <w:r w:rsidR="00593AC5">
        <w:rPr>
          <w:lang w:val="en-GB"/>
        </w:rPr>
        <w:t xml:space="preserve"> </w:t>
      </w:r>
      <w:r w:rsidRPr="00996A79">
        <w:rPr>
          <w:lang w:val="en-GB"/>
        </w:rPr>
        <w:t>based</w:t>
      </w:r>
      <w:r w:rsidR="00593AC5">
        <w:rPr>
          <w:lang w:val="en-GB"/>
        </w:rPr>
        <w:t xml:space="preserve"> </w:t>
      </w:r>
      <w:r w:rsidRPr="00996A79">
        <w:rPr>
          <w:lang w:val="en-GB"/>
        </w:rPr>
        <w:t>measurements are of great</w:t>
      </w:r>
      <w:r w:rsidR="00593AC5">
        <w:rPr>
          <w:lang w:val="en-GB"/>
        </w:rPr>
        <w:t xml:space="preserve"> </w:t>
      </w:r>
      <w:r w:rsidRPr="00996A79">
        <w:rPr>
          <w:lang w:val="en-GB"/>
        </w:rPr>
        <w:t>importance for the assessment and evaluation of local</w:t>
      </w:r>
      <w:r w:rsidR="00593AC5">
        <w:rPr>
          <w:lang w:val="en-GB"/>
        </w:rPr>
        <w:t xml:space="preserve"> </w:t>
      </w:r>
      <w:r w:rsidRPr="00996A79">
        <w:rPr>
          <w:lang w:val="en-GB"/>
        </w:rPr>
        <w:t>and regional variability and change, while satellite</w:t>
      </w:r>
      <w:r w:rsidR="00593AC5">
        <w:rPr>
          <w:lang w:val="en-GB"/>
        </w:rPr>
        <w:t xml:space="preserve"> </w:t>
      </w:r>
      <w:r w:rsidRPr="00996A79">
        <w:rPr>
          <w:lang w:val="en-GB"/>
        </w:rPr>
        <w:t>remote sensing offers a unique opportunity for documenting</w:t>
      </w:r>
      <w:r w:rsidR="00593AC5">
        <w:rPr>
          <w:lang w:val="en-GB"/>
        </w:rPr>
        <w:t xml:space="preserve"> </w:t>
      </w:r>
      <w:r w:rsidRPr="00996A79">
        <w:rPr>
          <w:lang w:val="en-GB"/>
        </w:rPr>
        <w:t>and monitoring the spatial surface albedo</w:t>
      </w:r>
      <w:r w:rsidR="00593AC5">
        <w:rPr>
          <w:lang w:val="en-GB"/>
        </w:rPr>
        <w:t xml:space="preserve"> </w:t>
      </w:r>
      <w:r w:rsidRPr="00996A79">
        <w:rPr>
          <w:lang w:val="en-GB"/>
        </w:rPr>
        <w:t>distribution, its variability, and change at continental</w:t>
      </w:r>
      <w:r w:rsidR="00593AC5">
        <w:rPr>
          <w:lang w:val="en-GB"/>
        </w:rPr>
        <w:t xml:space="preserve"> </w:t>
      </w:r>
      <w:r w:rsidRPr="00996A79">
        <w:rPr>
          <w:lang w:val="en-GB"/>
        </w:rPr>
        <w:t>scales. Observations acquired by geostationary satellites</w:t>
      </w:r>
      <w:r w:rsidR="00593AC5">
        <w:rPr>
          <w:lang w:val="en-GB"/>
        </w:rPr>
        <w:t xml:space="preserve"> </w:t>
      </w:r>
      <w:r w:rsidRPr="00996A79">
        <w:rPr>
          <w:lang w:val="en-GB"/>
        </w:rPr>
        <w:t>have the advantages of offering both a long-term</w:t>
      </w:r>
      <w:r w:rsidR="00593AC5">
        <w:rPr>
          <w:lang w:val="en-GB"/>
        </w:rPr>
        <w:t xml:space="preserve"> </w:t>
      </w:r>
      <w:r w:rsidRPr="00996A79">
        <w:rPr>
          <w:lang w:val="en-GB"/>
        </w:rPr>
        <w:t>dataset and an angular sampling of the surface as</w:t>
      </w:r>
      <w:r w:rsidR="00593AC5">
        <w:rPr>
          <w:lang w:val="en-GB"/>
        </w:rPr>
        <w:t xml:space="preserve"> </w:t>
      </w:r>
      <w:r w:rsidRPr="00996A79">
        <w:rPr>
          <w:lang w:val="en-GB"/>
        </w:rPr>
        <w:t>well as providing diurnal sampling of key parameters</w:t>
      </w:r>
      <w:r w:rsidR="00593AC5">
        <w:rPr>
          <w:lang w:val="en-GB"/>
        </w:rPr>
        <w:t xml:space="preserve"> </w:t>
      </w:r>
      <w:r w:rsidRPr="00996A79">
        <w:rPr>
          <w:lang w:val="en-GB"/>
        </w:rPr>
        <w:t>influencing the retrieval, such as cloud cover and</w:t>
      </w:r>
      <w:r w:rsidR="00593AC5">
        <w:rPr>
          <w:lang w:val="en-GB"/>
        </w:rPr>
        <w:t xml:space="preserve"> </w:t>
      </w:r>
      <w:r w:rsidRPr="00996A79">
        <w:rPr>
          <w:lang w:val="en-GB"/>
        </w:rPr>
        <w:t xml:space="preserve">aerosol load. </w:t>
      </w:r>
    </w:p>
    <w:p w:rsidR="007904A3" w:rsidRDefault="007904A3" w:rsidP="007904A3">
      <w:pPr>
        <w:keepNext/>
        <w:tabs>
          <w:tab w:val="left" w:pos="3783"/>
        </w:tabs>
        <w:jc w:val="center"/>
      </w:pPr>
      <w:r w:rsidRPr="007904A3">
        <w:rPr>
          <w:noProof/>
          <w:lang w:val="en-US" w:eastAsia="en-US"/>
        </w:rPr>
        <w:drawing>
          <wp:inline distT="0" distB="0" distL="0" distR="0">
            <wp:extent cx="5138343" cy="2582266"/>
            <wp:effectExtent l="19050" t="0" r="5157" b="0"/>
            <wp:docPr id="42" name="Picture 28" descr="albedosco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edoscope.png"/>
                    <pic:cNvPicPr/>
                  </pic:nvPicPr>
                  <pic:blipFill>
                    <a:blip r:embed="rId71" cstate="print"/>
                    <a:stretch>
                      <a:fillRect/>
                    </a:stretch>
                  </pic:blipFill>
                  <pic:spPr>
                    <a:xfrm>
                      <a:off x="0" y="0"/>
                      <a:ext cx="5140740" cy="2583471"/>
                    </a:xfrm>
                    <a:prstGeom prst="rect">
                      <a:avLst/>
                    </a:prstGeom>
                  </pic:spPr>
                </pic:pic>
              </a:graphicData>
            </a:graphic>
          </wp:inline>
        </w:drawing>
      </w:r>
    </w:p>
    <w:p w:rsidR="007904A3" w:rsidRPr="00996A79" w:rsidRDefault="007904A3" w:rsidP="007904A3">
      <w:pPr>
        <w:pStyle w:val="Caption"/>
        <w:jc w:val="center"/>
      </w:pPr>
      <w:bookmarkStart w:id="63" w:name="_Toc460923894"/>
      <w:r>
        <w:t xml:space="preserve">Figure </w:t>
      </w:r>
      <w:r w:rsidR="00E27A82">
        <w:fldChar w:fldCharType="begin"/>
      </w:r>
      <w:r w:rsidR="002D15AB">
        <w:instrText xml:space="preserve"> SEQ Figure \* ARABIC </w:instrText>
      </w:r>
      <w:r w:rsidR="00E27A82">
        <w:fldChar w:fldCharType="separate"/>
      </w:r>
      <w:r w:rsidR="00ED66C2">
        <w:rPr>
          <w:noProof/>
        </w:rPr>
        <w:t>37</w:t>
      </w:r>
      <w:r w:rsidR="00E27A82">
        <w:fldChar w:fldCharType="end"/>
      </w:r>
      <w:r w:rsidR="00BF6613">
        <w:t>:</w:t>
      </w:r>
      <w:r>
        <w:t xml:space="preserve"> </w:t>
      </w:r>
      <w:r w:rsidRPr="00996A79">
        <w:t>Broadband black sky albedo spatial composite product for the period 1-10 May 2001</w:t>
      </w:r>
      <w:r w:rsidR="00C3580E">
        <w:t xml:space="preserve"> </w:t>
      </w:r>
      <w:r>
        <w:t>[</w:t>
      </w:r>
      <w:r w:rsidRPr="00147B3B">
        <w:t>http://www.scope-cm.org/</w:t>
      </w:r>
      <w:r>
        <w:t>].</w:t>
      </w:r>
      <w:bookmarkEnd w:id="63"/>
    </w:p>
    <w:p w:rsidR="00D10B6F" w:rsidRPr="00996A79" w:rsidRDefault="00D10B6F" w:rsidP="00D10B6F">
      <w:pPr>
        <w:rPr>
          <w:lang w:val="en-GB"/>
        </w:rPr>
      </w:pPr>
      <w:r>
        <w:rPr>
          <w:lang w:val="en-GB"/>
        </w:rPr>
        <w:t xml:space="preserve">Albedo monitoring contributes directly to </w:t>
      </w:r>
      <w:r w:rsidRPr="00BB2165">
        <w:rPr>
          <w:b/>
          <w:lang w:val="en-GB"/>
        </w:rPr>
        <w:t>SBA/Climate</w:t>
      </w:r>
      <w:r>
        <w:rPr>
          <w:lang w:val="en-GB"/>
        </w:rPr>
        <w:t xml:space="preserve"> and </w:t>
      </w:r>
      <w:r w:rsidRPr="00BB2165">
        <w:rPr>
          <w:b/>
          <w:lang w:val="en-GB"/>
        </w:rPr>
        <w:t>SBA/Weather</w:t>
      </w:r>
      <w:r>
        <w:rPr>
          <w:lang w:val="en-GB"/>
        </w:rPr>
        <w:t xml:space="preserve"> but also support </w:t>
      </w:r>
      <w:r w:rsidRPr="00BE1B94">
        <w:rPr>
          <w:b/>
          <w:lang w:val="en-GB"/>
        </w:rPr>
        <w:t>SBA/Agriculture</w:t>
      </w:r>
      <w:r>
        <w:rPr>
          <w:lang w:val="en-GB"/>
        </w:rPr>
        <w:t xml:space="preserve"> and </w:t>
      </w:r>
      <w:r w:rsidRPr="00BE1B94">
        <w:rPr>
          <w:b/>
          <w:lang w:val="en-GB"/>
        </w:rPr>
        <w:t>SBA/Ecosystems</w:t>
      </w:r>
      <w:r>
        <w:rPr>
          <w:lang w:val="en-GB"/>
        </w:rPr>
        <w:t>.</w:t>
      </w:r>
    </w:p>
    <w:p w:rsidR="00D10B6F" w:rsidRDefault="00D10B6F" w:rsidP="007904A3">
      <w:pPr>
        <w:pStyle w:val="Heading3"/>
        <w:rPr>
          <w:lang w:val="en-GB" w:eastAsia="en-GB"/>
        </w:rPr>
      </w:pPr>
      <w:r>
        <w:rPr>
          <w:lang w:val="en-GB" w:eastAsia="en-GB"/>
        </w:rPr>
        <w:t>Incident Solar Radiation</w:t>
      </w:r>
    </w:p>
    <w:p w:rsidR="00D10B6F" w:rsidRPr="00F835D9" w:rsidRDefault="00D10B6F" w:rsidP="00C3580E">
      <w:pPr>
        <w:spacing w:after="240"/>
        <w:rPr>
          <w:lang w:val="en-GB"/>
        </w:rPr>
      </w:pPr>
      <w:r w:rsidRPr="00F835D9">
        <w:rPr>
          <w:lang w:val="en-GB"/>
        </w:rPr>
        <w:t>Downward Short-wave Radiation (DSR) is essential to climate studies and to understand the radiative forcing of clouds and aerosol. It is a key component in the surface energy budget and can be used either as an assimilated quantity in numerical climate and weather prediction models or as an independent source for validation and verification. However, DSR can also be used in NMA applications directly. In agriculture DSR is used as input in crop modelling. In hydrology, it is used in watershed and run-off analysis, which is important for determining flood risks, dam monitoring. Geostationary satellite data is particularly interesting for the solar energy sector, providing near-real time observations essential for short-term forecasts for solar energy production as well as for building energy usage modelling and optimization. High irradiance values also result in surface drying and DSR can therefore also be used in monitoring fire risk.</w:t>
      </w:r>
    </w:p>
    <w:p w:rsidR="00D10B6F" w:rsidRDefault="00D10B6F" w:rsidP="00D10B6F">
      <w:pPr>
        <w:keepNext/>
        <w:autoSpaceDE w:val="0"/>
        <w:autoSpaceDN w:val="0"/>
        <w:adjustRightInd w:val="0"/>
        <w:jc w:val="center"/>
      </w:pPr>
      <w:r w:rsidRPr="00D10B6F">
        <w:rPr>
          <w:rFonts w:ascii="Times New Roman" w:hAnsi="Times New Roman"/>
          <w:noProof/>
          <w:sz w:val="23"/>
          <w:szCs w:val="23"/>
          <w:lang w:val="en-US" w:eastAsia="en-US"/>
        </w:rPr>
        <w:drawing>
          <wp:inline distT="0" distB="0" distL="0" distR="0">
            <wp:extent cx="2657399" cy="2445047"/>
            <wp:effectExtent l="19050" t="0" r="0" b="0"/>
            <wp:docPr id="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srcRect/>
                    <a:stretch>
                      <a:fillRect/>
                    </a:stretch>
                  </pic:blipFill>
                  <pic:spPr bwMode="auto">
                    <a:xfrm>
                      <a:off x="0" y="0"/>
                      <a:ext cx="2655813" cy="2443588"/>
                    </a:xfrm>
                    <a:prstGeom prst="rect">
                      <a:avLst/>
                    </a:prstGeom>
                    <a:noFill/>
                    <a:ln w="9525">
                      <a:noFill/>
                      <a:miter lim="800000"/>
                      <a:headEnd/>
                      <a:tailEnd/>
                    </a:ln>
                  </pic:spPr>
                </pic:pic>
              </a:graphicData>
            </a:graphic>
          </wp:inline>
        </w:drawing>
      </w:r>
      <w:r w:rsidRPr="00D10B6F">
        <w:rPr>
          <w:rFonts w:ascii="Times New Roman" w:hAnsi="Times New Roman"/>
          <w:noProof/>
          <w:sz w:val="23"/>
          <w:szCs w:val="23"/>
          <w:lang w:val="en-US" w:eastAsia="en-US"/>
        </w:rPr>
        <w:drawing>
          <wp:inline distT="0" distB="0" distL="0" distR="0">
            <wp:extent cx="3269457" cy="2450592"/>
            <wp:effectExtent l="19050" t="0" r="7143" b="0"/>
            <wp:docPr id="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srcRect/>
                    <a:stretch>
                      <a:fillRect/>
                    </a:stretch>
                  </pic:blipFill>
                  <pic:spPr bwMode="auto">
                    <a:xfrm>
                      <a:off x="0" y="0"/>
                      <a:ext cx="3273302" cy="2453474"/>
                    </a:xfrm>
                    <a:prstGeom prst="rect">
                      <a:avLst/>
                    </a:prstGeom>
                    <a:noFill/>
                    <a:ln w="9525">
                      <a:noFill/>
                      <a:miter lim="800000"/>
                      <a:headEnd/>
                      <a:tailEnd/>
                    </a:ln>
                  </pic:spPr>
                </pic:pic>
              </a:graphicData>
            </a:graphic>
          </wp:inline>
        </w:drawing>
      </w:r>
    </w:p>
    <w:p w:rsidR="00D10B6F" w:rsidRPr="00196B8A" w:rsidRDefault="00D10B6F" w:rsidP="00BF6613">
      <w:pPr>
        <w:pStyle w:val="Caption"/>
        <w:jc w:val="center"/>
        <w:rPr>
          <w:rFonts w:asciiTheme="minorHAnsi" w:hAnsiTheme="minorHAnsi"/>
        </w:rPr>
      </w:pPr>
      <w:bookmarkStart w:id="64" w:name="_Toc460923895"/>
      <w:r>
        <w:t xml:space="preserve">Figure </w:t>
      </w:r>
      <w:r w:rsidR="00E27A82">
        <w:fldChar w:fldCharType="begin"/>
      </w:r>
      <w:r w:rsidR="002D15AB">
        <w:instrText xml:space="preserve"> SEQ Figure \* ARABIC </w:instrText>
      </w:r>
      <w:r w:rsidR="00E27A82">
        <w:fldChar w:fldCharType="separate"/>
      </w:r>
      <w:r w:rsidR="00ED66C2">
        <w:rPr>
          <w:noProof/>
        </w:rPr>
        <w:t>38</w:t>
      </w:r>
      <w:r w:rsidR="00E27A82">
        <w:fldChar w:fldCharType="end"/>
      </w:r>
      <w:r w:rsidR="00BF6613">
        <w:t>:</w:t>
      </w:r>
      <w:r w:rsidRPr="00196B8A">
        <w:rPr>
          <w:rFonts w:asciiTheme="minorHAnsi" w:hAnsiTheme="minorHAnsi"/>
          <w:lang w:val="en-GB"/>
        </w:rPr>
        <w:t xml:space="preserve"> Regional Surface Daiation from Meteosat (left) and Global Surface Radiation from multiple geostationary and polar orbiting satellites (right). </w:t>
      </w:r>
      <w:r w:rsidR="00370473">
        <w:rPr>
          <w:rFonts w:asciiTheme="minorHAnsi" w:hAnsiTheme="minorHAnsi"/>
          <w:lang w:val="en-GB"/>
        </w:rPr>
        <w:t>(</w:t>
      </w:r>
      <w:r w:rsidRPr="00196B8A">
        <w:rPr>
          <w:rFonts w:asciiTheme="minorHAnsi" w:hAnsiTheme="minorHAnsi"/>
          <w:lang w:val="en-GB"/>
        </w:rPr>
        <w:t xml:space="preserve">Trentmann </w:t>
      </w:r>
      <w:r w:rsidR="00370473">
        <w:rPr>
          <w:rFonts w:asciiTheme="minorHAnsi" w:hAnsiTheme="minorHAnsi"/>
          <w:lang w:val="en-GB"/>
        </w:rPr>
        <w:t xml:space="preserve">et al., </w:t>
      </w:r>
      <w:r w:rsidR="00092EE6">
        <w:rPr>
          <w:rFonts w:asciiTheme="minorHAnsi" w:hAnsiTheme="minorHAnsi"/>
          <w:lang w:val="en-GB"/>
        </w:rPr>
        <w:t xml:space="preserve"> </w:t>
      </w:r>
      <w:r w:rsidRPr="00196B8A">
        <w:rPr>
          <w:rFonts w:asciiTheme="minorHAnsi" w:hAnsiTheme="minorHAnsi"/>
          <w:lang w:val="en-GB"/>
        </w:rPr>
        <w:t>2013</w:t>
      </w:r>
      <w:r w:rsidR="00577FE4">
        <w:rPr>
          <w:rFonts w:asciiTheme="minorHAnsi" w:hAnsiTheme="minorHAnsi"/>
          <w:lang w:val="en-GB"/>
        </w:rPr>
        <w:t>)</w:t>
      </w:r>
      <w:r w:rsidR="00BF6613">
        <w:rPr>
          <w:rFonts w:asciiTheme="minorHAnsi" w:hAnsiTheme="minorHAnsi"/>
          <w:lang w:val="en-GB"/>
        </w:rPr>
        <w:t>.</w:t>
      </w:r>
      <w:bookmarkEnd w:id="64"/>
    </w:p>
    <w:p w:rsidR="007904A3" w:rsidRPr="002C782D" w:rsidRDefault="007904A3" w:rsidP="007904A3">
      <w:pPr>
        <w:pStyle w:val="Heading3"/>
        <w:rPr>
          <w:lang w:val="en-GB" w:eastAsia="en-GB"/>
        </w:rPr>
      </w:pPr>
      <w:r>
        <w:rPr>
          <w:lang w:val="en-GB" w:eastAsia="en-GB"/>
        </w:rPr>
        <w:t>The use of RGBs</w:t>
      </w:r>
    </w:p>
    <w:p w:rsidR="007904A3" w:rsidRPr="007904A3" w:rsidRDefault="007904A3" w:rsidP="007904A3">
      <w:pPr>
        <w:rPr>
          <w:lang w:val="en-GB" w:eastAsia="en-GB"/>
        </w:rPr>
      </w:pPr>
      <w:r w:rsidRPr="002C782D">
        <w:rPr>
          <w:lang w:val="en-GB" w:eastAsia="en-GB"/>
        </w:rPr>
        <w:t>Until recently imagers on geostationary satellites were limited to 2-3 spectral channels,</w:t>
      </w:r>
      <w:r w:rsidR="00371CF9">
        <w:rPr>
          <w:lang w:val="en-GB" w:eastAsia="en-GB"/>
        </w:rPr>
        <w:t xml:space="preserve"> </w:t>
      </w:r>
      <w:r w:rsidRPr="002C782D">
        <w:rPr>
          <w:lang w:val="en-GB" w:eastAsia="en-GB"/>
        </w:rPr>
        <w:t>i.e. VIS, IR (and WV). Imagers on satellites in polar orbits offered a couple of additional</w:t>
      </w:r>
      <w:r w:rsidR="00371CF9">
        <w:rPr>
          <w:lang w:val="en-GB" w:eastAsia="en-GB"/>
        </w:rPr>
        <w:t xml:space="preserve"> </w:t>
      </w:r>
      <w:r w:rsidRPr="002C782D">
        <w:rPr>
          <w:lang w:val="en-GB" w:eastAsia="en-GB"/>
        </w:rPr>
        <w:t xml:space="preserve">channels, e.g. 3.9 micron and split window. </w:t>
      </w:r>
      <w:r w:rsidR="006E75A7" w:rsidRPr="00554428">
        <w:rPr>
          <w:rFonts w:asciiTheme="minorHAnsi" w:eastAsia="Times New Roman" w:hAnsiTheme="minorHAnsi" w:cstheme="minorHAnsi"/>
          <w:lang w:val="en-GB" w:eastAsia="en-GB"/>
        </w:rPr>
        <w:t xml:space="preserve">Traditionally RGBs have been used in weather forecasting as an easy means to emphasise certain aspects captured by the satellite data. However, this technique can also be expanded to NMA application. </w:t>
      </w:r>
      <w:r>
        <w:rPr>
          <w:lang w:val="en-GB" w:eastAsia="en-GB"/>
        </w:rPr>
        <w:t>Various</w:t>
      </w:r>
      <w:r w:rsidRPr="002C782D">
        <w:rPr>
          <w:lang w:val="en-GB" w:eastAsia="en-GB"/>
        </w:rPr>
        <w:t xml:space="preserve"> schemes exist for</w:t>
      </w:r>
      <w:r w:rsidR="00371CF9">
        <w:rPr>
          <w:lang w:val="en-GB" w:eastAsia="en-GB"/>
        </w:rPr>
        <w:t xml:space="preserve"> </w:t>
      </w:r>
      <w:r w:rsidRPr="002C782D">
        <w:rPr>
          <w:lang w:val="en-GB" w:eastAsia="en-GB"/>
        </w:rPr>
        <w:t>displaying the imagery, and interpretation is sometimes difficult when not being</w:t>
      </w:r>
      <w:r w:rsidR="00371CF9">
        <w:rPr>
          <w:lang w:val="en-GB" w:eastAsia="en-GB"/>
        </w:rPr>
        <w:t xml:space="preserve"> </w:t>
      </w:r>
      <w:r w:rsidRPr="002C782D">
        <w:rPr>
          <w:lang w:val="en-GB" w:eastAsia="en-GB"/>
        </w:rPr>
        <w:t>acquainted with the particular colouring.</w:t>
      </w:r>
    </w:p>
    <w:p w:rsidR="007904A3" w:rsidRDefault="007904A3" w:rsidP="007904A3">
      <w:pPr>
        <w:rPr>
          <w:lang w:val="en-GB" w:eastAsia="en-GB"/>
        </w:rPr>
      </w:pPr>
      <w:r w:rsidRPr="002C782D">
        <w:rPr>
          <w:lang w:val="en-GB" w:eastAsia="en-GB"/>
        </w:rPr>
        <w:t xml:space="preserve">The advent of true multi-spectral imaging in geostationary orbit is offering </w:t>
      </w:r>
      <w:r>
        <w:rPr>
          <w:lang w:val="en-GB" w:eastAsia="en-GB"/>
        </w:rPr>
        <w:t xml:space="preserve">the use of false-colour multichannel RGB imagery for easier image </w:t>
      </w:r>
      <w:r w:rsidR="00371CF9">
        <w:rPr>
          <w:lang w:val="en-GB" w:eastAsia="en-GB"/>
        </w:rPr>
        <w:t>interpretation</w:t>
      </w:r>
      <w:r w:rsidRPr="002C782D">
        <w:rPr>
          <w:lang w:val="en-GB" w:eastAsia="en-GB"/>
        </w:rPr>
        <w:t>. On RGB displays some characteristics may be easily evidenced with a minimum of processing by attributing a</w:t>
      </w:r>
      <w:r w:rsidR="00371CF9">
        <w:rPr>
          <w:lang w:val="en-GB" w:eastAsia="en-GB"/>
        </w:rPr>
        <w:t xml:space="preserve"> </w:t>
      </w:r>
      <w:r w:rsidRPr="002C782D">
        <w:rPr>
          <w:lang w:val="en-GB" w:eastAsia="en-GB"/>
        </w:rPr>
        <w:t>selection of channels and/or channel differences to the individual RGB colour planes.</w:t>
      </w:r>
      <w:r w:rsidR="00371CF9">
        <w:rPr>
          <w:lang w:val="en-GB" w:eastAsia="en-GB"/>
        </w:rPr>
        <w:t xml:space="preserve"> </w:t>
      </w:r>
      <w:r w:rsidRPr="002C782D">
        <w:rPr>
          <w:lang w:val="en-GB" w:eastAsia="en-GB"/>
        </w:rPr>
        <w:t>Such RGB composites convey very useful additional information to duty forecasters</w:t>
      </w:r>
      <w:r>
        <w:rPr>
          <w:lang w:val="en-GB" w:eastAsia="en-GB"/>
        </w:rPr>
        <w:t xml:space="preserve"> and image analysts</w:t>
      </w:r>
      <w:r w:rsidRPr="002C782D">
        <w:rPr>
          <w:lang w:val="en-GB" w:eastAsia="en-GB"/>
        </w:rPr>
        <w:t>, in</w:t>
      </w:r>
      <w:r>
        <w:rPr>
          <w:lang w:val="en-GB" w:eastAsia="en-GB"/>
        </w:rPr>
        <w:t xml:space="preserve"> </w:t>
      </w:r>
      <w:r w:rsidRPr="002C782D">
        <w:rPr>
          <w:lang w:val="en-GB" w:eastAsia="en-GB"/>
        </w:rPr>
        <w:t>particular when looking at animated image sequences. Besides processing on the fly</w:t>
      </w:r>
      <w:r w:rsidR="00371CF9">
        <w:rPr>
          <w:lang w:val="en-GB" w:eastAsia="en-GB"/>
        </w:rPr>
        <w:t xml:space="preserve"> </w:t>
      </w:r>
      <w:r w:rsidRPr="002C782D">
        <w:rPr>
          <w:lang w:val="en-GB" w:eastAsia="en-GB"/>
        </w:rPr>
        <w:t>another advantage of RGB compositing (as opposed to more sophisticated processing</w:t>
      </w:r>
      <w:r>
        <w:rPr>
          <w:lang w:val="en-GB" w:eastAsia="en-GB"/>
        </w:rPr>
        <w:t xml:space="preserve"> </w:t>
      </w:r>
      <w:r w:rsidRPr="002C782D">
        <w:rPr>
          <w:lang w:val="en-GB" w:eastAsia="en-GB"/>
        </w:rPr>
        <w:t>using classification algorithms) is that the images preserve the “natural” look-and-feel of</w:t>
      </w:r>
      <w:r w:rsidR="00371CF9">
        <w:rPr>
          <w:lang w:val="en-GB" w:eastAsia="en-GB"/>
        </w:rPr>
        <w:t xml:space="preserve"> </w:t>
      </w:r>
      <w:r w:rsidRPr="002C782D">
        <w:rPr>
          <w:lang w:val="en-GB" w:eastAsia="en-GB"/>
        </w:rPr>
        <w:t>“traditional” satellite images, e.g. they preserve texture and patterns are continuous in</w:t>
      </w:r>
      <w:r>
        <w:rPr>
          <w:lang w:val="en-GB" w:eastAsia="en-GB"/>
        </w:rPr>
        <w:t xml:space="preserve"> </w:t>
      </w:r>
      <w:r w:rsidRPr="002C782D">
        <w:rPr>
          <w:lang w:val="en-GB" w:eastAsia="en-GB"/>
        </w:rPr>
        <w:t>time. Any classification scheme tends to flatten texture (down to chessboard-like</w:t>
      </w:r>
      <w:r>
        <w:rPr>
          <w:lang w:val="en-GB" w:eastAsia="en-GB"/>
        </w:rPr>
        <w:t xml:space="preserve"> </w:t>
      </w:r>
      <w:r w:rsidRPr="002C782D">
        <w:rPr>
          <w:lang w:val="en-GB" w:eastAsia="en-GB"/>
        </w:rPr>
        <w:t>patterns and mis/unclassified fringes) and to introduce temporal inconsistencies. These</w:t>
      </w:r>
      <w:r>
        <w:rPr>
          <w:lang w:val="en-GB" w:eastAsia="en-GB"/>
        </w:rPr>
        <w:t xml:space="preserve"> </w:t>
      </w:r>
      <w:r w:rsidRPr="002C782D">
        <w:rPr>
          <w:lang w:val="en-GB" w:eastAsia="en-GB"/>
        </w:rPr>
        <w:t>defects hamper reliable interpretation in an operational environment. In particular image</w:t>
      </w:r>
      <w:r>
        <w:rPr>
          <w:lang w:val="en-GB" w:eastAsia="en-GB"/>
        </w:rPr>
        <w:t xml:space="preserve"> </w:t>
      </w:r>
      <w:r w:rsidRPr="002C782D">
        <w:rPr>
          <w:lang w:val="en-GB" w:eastAsia="en-GB"/>
        </w:rPr>
        <w:t>sequences are not sufficiently smooth when animated, so important for the appraisal of</w:t>
      </w:r>
      <w:r w:rsidR="00371CF9">
        <w:rPr>
          <w:lang w:val="en-GB" w:eastAsia="en-GB"/>
        </w:rPr>
        <w:t xml:space="preserve"> </w:t>
      </w:r>
      <w:r w:rsidRPr="002C782D">
        <w:rPr>
          <w:lang w:val="en-GB" w:eastAsia="en-GB"/>
        </w:rPr>
        <w:t>dynamical aspects.</w:t>
      </w:r>
    </w:p>
    <w:p w:rsidR="007904A3" w:rsidRPr="002C782D" w:rsidRDefault="007904A3" w:rsidP="007904A3">
      <w:pPr>
        <w:rPr>
          <w:lang w:val="en-GB" w:eastAsia="en-GB"/>
        </w:rPr>
      </w:pPr>
      <w:r w:rsidRPr="002C782D">
        <w:rPr>
          <w:lang w:val="en-GB" w:eastAsia="en-GB"/>
        </w:rPr>
        <w:t>In the multi-spectral imager era RGB composites are an excellent addition to the tools</w:t>
      </w:r>
      <w:r>
        <w:rPr>
          <w:lang w:val="en-GB" w:eastAsia="en-GB"/>
        </w:rPr>
        <w:t xml:space="preserve"> available for image interpretation</w:t>
      </w:r>
      <w:r w:rsidRPr="002C782D">
        <w:rPr>
          <w:lang w:val="en-GB" w:eastAsia="en-GB"/>
        </w:rPr>
        <w:t>. In an operational environment it is important of</w:t>
      </w:r>
      <w:r w:rsidR="00371CF9">
        <w:rPr>
          <w:lang w:val="en-GB" w:eastAsia="en-GB"/>
        </w:rPr>
        <w:t xml:space="preserve"> </w:t>
      </w:r>
      <w:r w:rsidRPr="002C782D">
        <w:rPr>
          <w:lang w:val="en-GB" w:eastAsia="en-GB"/>
        </w:rPr>
        <w:t>course, to judiciously select the RGB composites and limit their number to a strict</w:t>
      </w:r>
      <w:r w:rsidR="00371CF9">
        <w:rPr>
          <w:lang w:val="en-GB" w:eastAsia="en-GB"/>
        </w:rPr>
        <w:t xml:space="preserve"> </w:t>
      </w:r>
      <w:r w:rsidRPr="002C782D">
        <w:rPr>
          <w:lang w:val="en-GB" w:eastAsia="en-GB"/>
        </w:rPr>
        <w:t>minimum in accordance with the problems at hand. At the same time one should strive</w:t>
      </w:r>
      <w:r w:rsidR="00371CF9">
        <w:rPr>
          <w:lang w:val="en-GB" w:eastAsia="en-GB"/>
        </w:rPr>
        <w:t xml:space="preserve"> </w:t>
      </w:r>
      <w:r w:rsidRPr="002C782D">
        <w:rPr>
          <w:lang w:val="en-GB" w:eastAsia="en-GB"/>
        </w:rPr>
        <w:t>for composites being available night and day (i.e. IR only) and maximising feature</w:t>
      </w:r>
      <w:r w:rsidR="00371CF9">
        <w:rPr>
          <w:lang w:val="en-GB" w:eastAsia="en-GB"/>
        </w:rPr>
        <w:t xml:space="preserve"> </w:t>
      </w:r>
      <w:r w:rsidRPr="002C782D">
        <w:rPr>
          <w:lang w:val="en-GB" w:eastAsia="en-GB"/>
        </w:rPr>
        <w:t>identification. Depending of the particular multi-spectral imager RGB composites may</w:t>
      </w:r>
      <w:r w:rsidR="00371CF9">
        <w:rPr>
          <w:lang w:val="en-GB" w:eastAsia="en-GB"/>
        </w:rPr>
        <w:t xml:space="preserve"> </w:t>
      </w:r>
      <w:r w:rsidRPr="002C782D">
        <w:rPr>
          <w:lang w:val="en-GB" w:eastAsia="en-GB"/>
        </w:rPr>
        <w:t>support the identification of:</w:t>
      </w:r>
    </w:p>
    <w:p w:rsidR="007904A3" w:rsidRPr="007904A3" w:rsidRDefault="007904A3" w:rsidP="007904A3">
      <w:pPr>
        <w:pStyle w:val="ListParagraph"/>
        <w:numPr>
          <w:ilvl w:val="0"/>
          <w:numId w:val="25"/>
        </w:numPr>
        <w:rPr>
          <w:rFonts w:asciiTheme="minorHAnsi" w:hAnsiTheme="minorHAnsi"/>
          <w:sz w:val="22"/>
          <w:szCs w:val="22"/>
          <w:lang w:val="en-GB" w:eastAsia="en-GB"/>
        </w:rPr>
      </w:pPr>
      <w:r w:rsidRPr="007904A3">
        <w:rPr>
          <w:rFonts w:asciiTheme="minorHAnsi" w:hAnsiTheme="minorHAnsi"/>
          <w:sz w:val="22"/>
          <w:szCs w:val="22"/>
          <w:lang w:val="en-GB" w:eastAsia="en-GB"/>
        </w:rPr>
        <w:t>solid and liquid water particles (snow – ice crystals – cloud droplets) and of their relative size</w:t>
      </w:r>
      <w:r w:rsidR="00371CF9">
        <w:rPr>
          <w:rFonts w:asciiTheme="minorHAnsi" w:hAnsiTheme="minorHAnsi"/>
          <w:sz w:val="22"/>
          <w:szCs w:val="22"/>
          <w:lang w:val="en-GB" w:eastAsia="en-GB"/>
        </w:rPr>
        <w:t xml:space="preserve"> </w:t>
      </w:r>
      <w:r w:rsidRPr="007904A3">
        <w:rPr>
          <w:rFonts w:asciiTheme="minorHAnsi" w:hAnsiTheme="minorHAnsi"/>
          <w:sz w:val="22"/>
          <w:szCs w:val="22"/>
          <w:lang w:val="en-GB" w:eastAsia="en-GB"/>
        </w:rPr>
        <w:t>at, close to, the cloud tops;</w:t>
      </w:r>
    </w:p>
    <w:p w:rsidR="007904A3" w:rsidRPr="007904A3" w:rsidRDefault="007904A3" w:rsidP="007904A3">
      <w:pPr>
        <w:pStyle w:val="ListParagraph"/>
        <w:numPr>
          <w:ilvl w:val="0"/>
          <w:numId w:val="25"/>
        </w:numPr>
        <w:rPr>
          <w:rFonts w:asciiTheme="minorHAnsi" w:hAnsiTheme="minorHAnsi"/>
          <w:sz w:val="22"/>
          <w:szCs w:val="22"/>
          <w:lang w:val="en-GB" w:eastAsia="en-GB"/>
        </w:rPr>
      </w:pPr>
      <w:r w:rsidRPr="007904A3">
        <w:rPr>
          <w:rFonts w:asciiTheme="minorHAnsi" w:hAnsiTheme="minorHAnsi"/>
          <w:sz w:val="22"/>
          <w:szCs w:val="22"/>
          <w:lang w:val="en-GB" w:eastAsia="en-GB"/>
        </w:rPr>
        <w:t>weak-moderate and strong convection;</w:t>
      </w:r>
    </w:p>
    <w:p w:rsidR="007904A3" w:rsidRPr="007904A3" w:rsidRDefault="007904A3" w:rsidP="007904A3">
      <w:pPr>
        <w:pStyle w:val="ListParagraph"/>
        <w:numPr>
          <w:ilvl w:val="0"/>
          <w:numId w:val="25"/>
        </w:numPr>
        <w:rPr>
          <w:rFonts w:asciiTheme="minorHAnsi" w:hAnsiTheme="minorHAnsi"/>
          <w:sz w:val="22"/>
          <w:szCs w:val="22"/>
          <w:lang w:val="en-GB" w:eastAsia="en-GB"/>
        </w:rPr>
      </w:pPr>
      <w:r w:rsidRPr="007904A3">
        <w:rPr>
          <w:rFonts w:asciiTheme="minorHAnsi" w:hAnsiTheme="minorHAnsi"/>
          <w:sz w:val="22"/>
          <w:szCs w:val="22"/>
          <w:lang w:val="en-GB" w:eastAsia="en-GB"/>
        </w:rPr>
        <w:t>dust and smoke plumes;</w:t>
      </w:r>
    </w:p>
    <w:p w:rsidR="007904A3" w:rsidRPr="007904A3" w:rsidRDefault="007904A3" w:rsidP="007904A3">
      <w:pPr>
        <w:pStyle w:val="ListParagraph"/>
        <w:numPr>
          <w:ilvl w:val="0"/>
          <w:numId w:val="25"/>
        </w:numPr>
        <w:rPr>
          <w:rFonts w:asciiTheme="minorHAnsi" w:hAnsiTheme="minorHAnsi"/>
          <w:sz w:val="22"/>
          <w:szCs w:val="22"/>
          <w:lang w:val="en-GB" w:eastAsia="en-GB"/>
        </w:rPr>
      </w:pPr>
      <w:r w:rsidRPr="007904A3">
        <w:rPr>
          <w:rFonts w:asciiTheme="minorHAnsi" w:hAnsiTheme="minorHAnsi"/>
          <w:sz w:val="22"/>
          <w:szCs w:val="22"/>
          <w:lang w:val="en-GB" w:eastAsia="en-GB"/>
        </w:rPr>
        <w:t>air mass type in middle and high troposphere;</w:t>
      </w:r>
    </w:p>
    <w:p w:rsidR="007904A3" w:rsidRDefault="007904A3" w:rsidP="007904A3">
      <w:pPr>
        <w:pStyle w:val="ListParagraph"/>
        <w:numPr>
          <w:ilvl w:val="0"/>
          <w:numId w:val="25"/>
        </w:numPr>
        <w:rPr>
          <w:rFonts w:asciiTheme="minorHAnsi" w:hAnsiTheme="minorHAnsi"/>
          <w:sz w:val="22"/>
          <w:szCs w:val="22"/>
          <w:lang w:val="en-GB" w:eastAsia="en-GB"/>
        </w:rPr>
      </w:pPr>
      <w:r w:rsidRPr="007904A3">
        <w:rPr>
          <w:rFonts w:asciiTheme="minorHAnsi" w:hAnsiTheme="minorHAnsi"/>
          <w:sz w:val="22"/>
          <w:szCs w:val="22"/>
          <w:lang w:val="en-GB" w:eastAsia="en-GB"/>
        </w:rPr>
        <w:t>evolution of snow cover and vegetation</w:t>
      </w:r>
      <w:r>
        <w:rPr>
          <w:rFonts w:asciiTheme="minorHAnsi" w:hAnsiTheme="minorHAnsi"/>
          <w:sz w:val="22"/>
          <w:szCs w:val="22"/>
          <w:lang w:val="en-GB" w:eastAsia="en-GB"/>
        </w:rPr>
        <w:t xml:space="preserve"> </w:t>
      </w:r>
    </w:p>
    <w:p w:rsidR="00371CF9" w:rsidRDefault="00371CF9" w:rsidP="007904A3">
      <w:pPr>
        <w:pStyle w:val="ListParagraph"/>
        <w:numPr>
          <w:ilvl w:val="0"/>
          <w:numId w:val="25"/>
        </w:numPr>
        <w:rPr>
          <w:rFonts w:asciiTheme="minorHAnsi" w:hAnsiTheme="minorHAnsi"/>
          <w:sz w:val="22"/>
          <w:szCs w:val="22"/>
          <w:lang w:val="en-GB" w:eastAsia="en-GB"/>
        </w:rPr>
      </w:pPr>
      <w:r>
        <w:rPr>
          <w:rFonts w:asciiTheme="minorHAnsi" w:hAnsiTheme="minorHAnsi"/>
          <w:sz w:val="22"/>
          <w:szCs w:val="22"/>
          <w:lang w:val="en-GB" w:eastAsia="en-GB"/>
        </w:rPr>
        <w:t xml:space="preserve">oceanic features such as turbid flood plumes and algal blooms </w:t>
      </w:r>
    </w:p>
    <w:p w:rsidR="00D10B6F" w:rsidRDefault="00D10B6F" w:rsidP="00D10B6F">
      <w:pPr>
        <w:pStyle w:val="ListParagraph"/>
        <w:rPr>
          <w:rFonts w:ascii="Arial" w:hAnsi="Arial" w:cs="Arial"/>
        </w:rPr>
      </w:pPr>
    </w:p>
    <w:p w:rsidR="00D10B6F" w:rsidRPr="00D10B6F" w:rsidRDefault="00D10B6F" w:rsidP="00D10B6F">
      <w:r w:rsidRPr="00D10B6F">
        <w:t>Further details, information and training material can be found e.g. at:</w:t>
      </w:r>
    </w:p>
    <w:p w:rsidR="00D10B6F" w:rsidRDefault="00E27A82" w:rsidP="00D10B6F">
      <w:pPr>
        <w:pStyle w:val="ListBullet"/>
      </w:pPr>
      <w:hyperlink r:id="rId74" w:history="1">
        <w:r w:rsidR="00D10B6F" w:rsidRPr="002A2B94">
          <w:rPr>
            <w:rStyle w:val="Hyperlink"/>
          </w:rPr>
          <w:t>http://oiswww.eumetsat.org/WEBOPS/msg_interpretation/index.php</w:t>
        </w:r>
      </w:hyperlink>
    </w:p>
    <w:p w:rsidR="00D10B6F" w:rsidRDefault="00E27A82" w:rsidP="00D10B6F">
      <w:pPr>
        <w:pStyle w:val="ListBullet"/>
      </w:pPr>
      <w:hyperlink r:id="rId75" w:history="1">
        <w:r w:rsidR="00D10B6F" w:rsidRPr="002A2B94">
          <w:rPr>
            <w:rStyle w:val="Hyperlink"/>
          </w:rPr>
          <w:t>http://oiswww.eumetsat.int/~idds/html/doc/best_practices.pdf</w:t>
        </w:r>
      </w:hyperlink>
    </w:p>
    <w:p w:rsidR="00D10B6F" w:rsidRDefault="00E27A82" w:rsidP="00D10B6F">
      <w:pPr>
        <w:pStyle w:val="ListBullet"/>
      </w:pPr>
      <w:hyperlink r:id="rId76" w:history="1">
        <w:r w:rsidR="00D10B6F" w:rsidRPr="002A2B94">
          <w:rPr>
            <w:rStyle w:val="Hyperlink"/>
          </w:rPr>
          <w:t>http://www.goes-r.gov/users/comet/npoess/multispectral_topics/rgb/print.htm</w:t>
        </w:r>
      </w:hyperlink>
    </w:p>
    <w:p w:rsidR="00D10B6F" w:rsidRDefault="00E27A82" w:rsidP="00D10B6F">
      <w:pPr>
        <w:pStyle w:val="ListBullet"/>
      </w:pPr>
      <w:hyperlink r:id="rId77" w:history="1">
        <w:r w:rsidR="00D10B6F" w:rsidRPr="002A2B94">
          <w:rPr>
            <w:rStyle w:val="Hyperlink"/>
          </w:rPr>
          <w:t>http://www5.bom.gov.au/files/7013/5580/7378/RGBWebinarforWebNoRefs.pdf</w:t>
        </w:r>
      </w:hyperlink>
    </w:p>
    <w:p w:rsidR="00D10B6F" w:rsidRPr="00B972DF" w:rsidRDefault="00E27A82" w:rsidP="00D10B6F">
      <w:pPr>
        <w:pStyle w:val="ListBullet"/>
      </w:pPr>
      <w:hyperlink r:id="rId78" w:anchor=".V6SbyKJHCFs" w:history="1">
        <w:r w:rsidR="00D10B6F" w:rsidRPr="002A2B94">
          <w:rPr>
            <w:rStyle w:val="Hyperlink"/>
          </w:rPr>
          <w:t>https://www.meted.ucar.edu/training_module.php?id=568#.V6SbyKJHCFs</w:t>
        </w:r>
      </w:hyperlink>
    </w:p>
    <w:p w:rsidR="00371CF9" w:rsidRDefault="002654EA" w:rsidP="002654EA">
      <w:pPr>
        <w:pStyle w:val="Heading3"/>
        <w:rPr>
          <w:lang w:eastAsia="en-GB"/>
        </w:rPr>
      </w:pPr>
      <w:r>
        <w:rPr>
          <w:lang w:eastAsia="en-GB"/>
        </w:rPr>
        <w:t>Resources</w:t>
      </w:r>
    </w:p>
    <w:p w:rsidR="002654EA" w:rsidRDefault="002654EA" w:rsidP="002654EA">
      <w:r>
        <w:t>Many of the main findings, results and conclusions presented in this chapter have been derived from the associated Algorithm Theoretical Basis Documents for the new generation meteorological satellites, e.g.:</w:t>
      </w:r>
    </w:p>
    <w:p w:rsidR="002654EA" w:rsidRPr="00A979D9" w:rsidRDefault="002654EA" w:rsidP="002654EA">
      <w:pPr>
        <w:spacing w:after="0"/>
        <w:rPr>
          <w:b/>
        </w:rPr>
      </w:pPr>
      <w:r w:rsidRPr="00A979D9">
        <w:rPr>
          <w:b/>
        </w:rPr>
        <w:t xml:space="preserve">GOES-R ATBDs: </w:t>
      </w:r>
    </w:p>
    <w:p w:rsidR="002654EA" w:rsidRDefault="00E27A82" w:rsidP="002654EA">
      <w:hyperlink r:id="rId79" w:anchor="ATBDs" w:history="1">
        <w:r w:rsidR="002654EA" w:rsidRPr="002A2B94">
          <w:rPr>
            <w:rStyle w:val="Hyperlink"/>
          </w:rPr>
          <w:t>http://www.goes-r.gov/resources/docs.html#ATBDs</w:t>
        </w:r>
      </w:hyperlink>
    </w:p>
    <w:p w:rsidR="002654EA" w:rsidRPr="00A979D9" w:rsidRDefault="002654EA" w:rsidP="002654EA">
      <w:pPr>
        <w:spacing w:after="0"/>
        <w:rPr>
          <w:b/>
        </w:rPr>
      </w:pPr>
      <w:r w:rsidRPr="00A979D9">
        <w:rPr>
          <w:b/>
        </w:rPr>
        <w:t xml:space="preserve">MTG ATBDs: </w:t>
      </w:r>
    </w:p>
    <w:p w:rsidR="002654EA" w:rsidRPr="006F58B5" w:rsidRDefault="00E27A82" w:rsidP="002654EA">
      <w:hyperlink r:id="rId80" w:history="1">
        <w:r w:rsidR="002654EA" w:rsidRPr="002A2B94">
          <w:rPr>
            <w:rStyle w:val="Hyperlink"/>
          </w:rPr>
          <w:t>http://www.eumetsat.int/website/home/Satellites/FutureSatellites/MeteosatThirdGeneration/MTGResources/index.html</w:t>
        </w:r>
      </w:hyperlink>
    </w:p>
    <w:p w:rsidR="002654EA" w:rsidRPr="002654EA" w:rsidRDefault="002654EA" w:rsidP="002654EA">
      <w:pPr>
        <w:rPr>
          <w:lang w:eastAsia="en-GB"/>
        </w:rPr>
      </w:pPr>
    </w:p>
    <w:p w:rsidR="00ED4E6E" w:rsidRDefault="00C34D40" w:rsidP="00ED4E6E">
      <w:pPr>
        <w:pStyle w:val="Heading1"/>
      </w:pPr>
      <w:bookmarkStart w:id="65" w:name="_Toc460923841"/>
      <w:r>
        <w:t>Synergistic use of LEO systems – benefits and issues</w:t>
      </w:r>
      <w:bookmarkEnd w:id="65"/>
      <w:r>
        <w:t xml:space="preserve"> </w:t>
      </w:r>
    </w:p>
    <w:p w:rsidR="005200B6" w:rsidRDefault="005200B6" w:rsidP="005200B6">
      <w:r>
        <w:t>The idea of intensive usage of GEO measurements for the development of Earth Observation applications beyond meteorological applications leads also to the fact that a combination of GEO and LEO satellite systems can help to lift synergistic information from both for additional Earth Observation applications. Thus, the focus of this chapter is to develop an idea/vision about possible EO applications taking into account the different advantages and caveats from both orbit configurations.</w:t>
      </w:r>
    </w:p>
    <w:p w:rsidR="005200B6" w:rsidRDefault="005200B6" w:rsidP="005200B6">
      <w:r>
        <w:t>After discussing first the different perspective of a synergetic use of both, GEO and LEO, a general overview about GEO and LEO characteristics is presented in terms of spatial resolution and coverage, temporal resolution and coverage, viewing and illumination conditions, and spectral resolution and coverage. Looking first on GEO and LEO observation geometry individually, a brief section summarizes the key figures. Taking this into account different example applications will be discussed where both geometries, GEO and LEO, had been used to derive a mapping of a geo-physical parameter. After that an introduction to several possible applications will be given. It shall be not neglected that certain pre-requisites and requirements must be fulfilled in the usage of algorithms, calibration, harmonization, and validation to deduct a geo-physical quantity from observations out of GEO and LEO so that a sub-section will be dedicated to those topics. Finally, we will also have a brief look on existing studies with regard a synergistic use of GEO and LEO satellite systems.</w:t>
      </w:r>
    </w:p>
    <w:p w:rsidR="005200B6" w:rsidRPr="005200B6" w:rsidRDefault="005200B6" w:rsidP="005200B6">
      <w:r>
        <w:t>Note that the study is focused in first instance on comparisons with LEO imagers, which have been the basis of many non-meteorological applications in the past. However, there is also a lot of potential in other sensor families.</w:t>
      </w:r>
    </w:p>
    <w:p w:rsidR="005200B6" w:rsidRDefault="005200B6" w:rsidP="005200B6">
      <w:pPr>
        <w:pStyle w:val="Heading2"/>
      </w:pPr>
      <w:bookmarkStart w:id="66" w:name="_Toc460923842"/>
      <w:r>
        <w:t>Synergistic use – what kind of synergy is meant</w:t>
      </w:r>
      <w:bookmarkEnd w:id="66"/>
    </w:p>
    <w:p w:rsidR="005200B6" w:rsidRDefault="005200B6" w:rsidP="005200B6">
      <w:r>
        <w:t>If synergy is meant, it is worth to clarify at the beginning what the subjects of the synergy with which objective is. There might be a variety of understanding about synergistic usage which depends on the understanding what kind of information shall be finally derived how and under which boundary conditions from the different measurements of the different orbit configurations. Finally, it is a question of merging different single information content into another information context.</w:t>
      </w:r>
    </w:p>
    <w:p w:rsidR="005200B6" w:rsidRDefault="005200B6" w:rsidP="005200B6">
      <w:r>
        <w:t>Thus, there is the need to clarify the discussion topics what is briefly outlined in the following – probably incomplete – list. The different approaches are listed along the different levels of satellite data processing beginning at level 0 onwards.</w:t>
      </w:r>
    </w:p>
    <w:p w:rsidR="005200B6" w:rsidRPr="005200B6" w:rsidRDefault="005200B6" w:rsidP="005200B6">
      <w:pPr>
        <w:pStyle w:val="ListNumber2"/>
        <w:ind w:left="806" w:hanging="403"/>
        <w:contextualSpacing w:val="0"/>
      </w:pPr>
      <w:r w:rsidRPr="005200B6">
        <w:t>The approach closest to level 0 is to combine measurements of same or similar sensor type from GEO and LEO orbit. However, since the choice of the orbit is usually dependent also on some modifications on sensors, the ideal case of identical sensors with identical characteristics is not the case so that modifications in data processing must be introduced to combine those data;</w:t>
      </w:r>
    </w:p>
    <w:p w:rsidR="005200B6" w:rsidRPr="005200B6" w:rsidRDefault="005200B6" w:rsidP="005200B6">
      <w:pPr>
        <w:pStyle w:val="ListNumber2"/>
        <w:ind w:left="806" w:hanging="403"/>
        <w:contextualSpacing w:val="0"/>
      </w:pPr>
      <w:r w:rsidRPr="005200B6">
        <w:t>Another approach would be to combine level 1 data (radiances) which are defined in absolute physical quantities (normalized to the Earth surface) to allow their comparability. Those can be used to apply one combined algorithm in order to derive higher level products/information;</w:t>
      </w:r>
    </w:p>
    <w:p w:rsidR="005200B6" w:rsidRPr="005200B6" w:rsidRDefault="005200B6" w:rsidP="005200B6">
      <w:pPr>
        <w:pStyle w:val="ListNumber2"/>
        <w:ind w:left="806" w:hanging="403"/>
        <w:contextualSpacing w:val="0"/>
      </w:pPr>
      <w:r w:rsidRPr="005200B6">
        <w:t>Taking geo-physical quantities measured in GEO ad LEO (usually level 2 and higher) can be also the input for a synergistic approach. In that particular case, a merge of one geo-physical quantity derived from GEO and LEO into one derived product may one solution, but also the complementary usage of different geo-physical quantities to derive additional information can lead to synergistic information. This can also include different measurement techniques.</w:t>
      </w:r>
    </w:p>
    <w:p w:rsidR="005200B6" w:rsidRPr="005200B6" w:rsidRDefault="005200B6" w:rsidP="005200B6">
      <w:pPr>
        <w:pStyle w:val="ListNumber2"/>
      </w:pPr>
      <w:r w:rsidRPr="005200B6">
        <w:t>Information derived from level 1 (for example cloud masking) can be also used to merge witha geo-physical quantity (level 2) to another geo-physical product.</w:t>
      </w:r>
    </w:p>
    <w:p w:rsidR="005200B6" w:rsidRDefault="009E0CAB" w:rsidP="005200B6">
      <w:r>
        <w:t>It shall be noted that a) and b) can be discussed together with keeping in mind that we can distinguish between totally different measurement principles or similar ones. Likewise, c) and d) can be subsumed together, because the information in those cases is derived from the GEO and LEO measurements individually and then merged into new information. It is worth to note that this kind of discussion as above can be led independently on merging GEO or LEO, because it is also valid for LEO/LEO or GEO/GEO synergistic usage. For that, in the coming paragraph the different characteristics of the orbit configurations are briefly discussed to narrow down the discussion to the benefits and issues for that particular case of synergistic use of GEO and LEO systems.</w:t>
      </w:r>
    </w:p>
    <w:p w:rsidR="009E0CAB" w:rsidRDefault="009E0CAB" w:rsidP="009E0CAB">
      <w:pPr>
        <w:pStyle w:val="Heading2"/>
      </w:pPr>
      <w:bookmarkStart w:id="67" w:name="_Toc460923843"/>
      <w:r>
        <w:t>GEO and LEO observation geometry</w:t>
      </w:r>
      <w:bookmarkEnd w:id="67"/>
    </w:p>
    <w:p w:rsidR="009E0CAB" w:rsidRDefault="009E0CAB" w:rsidP="009E0CAB">
      <w:r>
        <w:t>GEO satellites were originally designed to observe the meteorological conditions and to improve the weather forecast</w:t>
      </w:r>
      <w:r>
        <w:rPr>
          <w:rStyle w:val="FootnoteReference"/>
        </w:rPr>
        <w:footnoteReference w:id="6"/>
      </w:r>
      <w:r>
        <w:t xml:space="preserve"> on an enhanced time baseline. Thus, the GEO orbit offers the opportunity of measuring with a very high frequency over a well-defined unchanging area of interest. Due to this original goal and technique of GEO observations the observation geometry is restricted to a disc projected on the earth surface and in many cases limited to approximately 60° north and 60° south latitudinal coverage</w:t>
      </w:r>
      <w:r>
        <w:rPr>
          <w:rStyle w:val="FootnoteReference"/>
        </w:rPr>
        <w:footnoteReference w:id="7"/>
      </w:r>
      <w:r>
        <w:t>, but the viewing geometry is the same for all measurements carried out for a specific point of interest with the characteristics that the illumination will change during the diurnal variations. Taking into account the new sensor design for GEO, a footprint with a spatial resolution of around 250m until 2km can be assumed for those imagers which are in the focus of the current analysis for synergistic use with LEO observations. The advantage of making use of longer integration times or co-adding over one scene compensates the caveat of the lower photon flux and hence the lower sensitivity compared to the sensors in LEO orbits.</w:t>
      </w:r>
    </w:p>
    <w:p w:rsidR="009E0CAB" w:rsidRDefault="009E0CAB" w:rsidP="005200B6">
      <w:r>
        <w:t>A sun-synchronous LEO orbit can offer a global coverage of the earth including the Polar Regions within a defined time-span. Flying in a lower orbit allows also to measure scenes with a spatial resolution down to 1m at the cost of spatial coverage. Thus, the treat-off for spatial resolution can be assumed between 10-250m for imagers in LEO orbits. The LEO orbit provides the opportunity to observe each individual scene under the nearly similar observation geometry at the same (day) time, but the viewing geometry is different for each spatial pixel with nearly fixed but different illumination geometry. Variations in geo-physical quantities can be usually filtered out on a yearly base, if a long time-series is available from a sensor. However, the combination of several satellites of the same type in LEO orbit to a constellation (see for example DMCii and RapidEye) can allow a daily global coverage. It is worth to note that most active remote sensing techniques are allocated in LEO orbit because of the technical caveats as for example size of telescopes, sensitivity, or others.</w:t>
      </w:r>
    </w:p>
    <w:p w:rsidR="009E0CAB" w:rsidRDefault="009E0CAB" w:rsidP="009E0CAB">
      <w:r>
        <w:t>Table 8 summarizes the similarities and differences of characteristics of imager data from GEO and LEO platforms. The following sections discuss each characteristic in detail.</w:t>
      </w:r>
    </w:p>
    <w:p w:rsidR="009E0CAB" w:rsidRDefault="009E0CAB" w:rsidP="009E0CAB">
      <w:r>
        <w:t>Concluding from table 8, we can note from first principle that some of the categories will allow making use from the complementarity (e.g. spatial resolution, instrumentation) or similarity (e.g. spectral coverage and resolution). This has been noted in many activities and will be starting point for the discussion of possible Earth Observation applications below.</w:t>
      </w:r>
    </w:p>
    <w:p w:rsidR="009E0CAB" w:rsidRDefault="009E0CAB" w:rsidP="009E0CAB">
      <w:r>
        <w:t xml:space="preserve">Beforehand, it shall be referred to some basic pre-requisites and requirements, because the combination of information from different sources needs some care in order to avoid comparison </w:t>
      </w:r>
      <w:r w:rsidRPr="003D475C">
        <w:t>of apple with peaches and to retrieve high quality information from a synergistic use of both, GE</w:t>
      </w:r>
      <w:r>
        <w:t>O and LEO orbit systems.</w:t>
      </w:r>
    </w:p>
    <w:p w:rsidR="009E0CAB" w:rsidRPr="009E0CAB" w:rsidRDefault="009E0CAB" w:rsidP="005200B6"/>
    <w:p w:rsidR="003622ED" w:rsidRDefault="003622ED" w:rsidP="003622ED">
      <w:pPr>
        <w:pStyle w:val="Caption"/>
        <w:jc w:val="center"/>
      </w:pPr>
      <w:bookmarkStart w:id="68" w:name="_Toc460923905"/>
      <w:r>
        <w:t xml:space="preserve">Table </w:t>
      </w:r>
      <w:fldSimple w:instr=" SEQ Table \* ARABIC ">
        <w:r w:rsidR="00ED66C2">
          <w:rPr>
            <w:noProof/>
          </w:rPr>
          <w:t>8</w:t>
        </w:r>
      </w:fldSimple>
      <w:r w:rsidR="00641C0D">
        <w:t>:</w:t>
      </w:r>
      <w:r>
        <w:t xml:space="preserve"> GEO versus LEO characteristics</w:t>
      </w:r>
      <w:r w:rsidR="00641C0D">
        <w:t>.</w:t>
      </w:r>
      <w:bookmarkEnd w:id="68"/>
    </w:p>
    <w:tbl>
      <w:tblPr>
        <w:tblStyle w:val="4"/>
        <w:tblW w:w="9638" w:type="dxa"/>
        <w:jc w:val="center"/>
        <w:tblLayout w:type="fixed"/>
        <w:tblLook w:val="0400"/>
      </w:tblPr>
      <w:tblGrid>
        <w:gridCol w:w="2943"/>
        <w:gridCol w:w="3527"/>
        <w:gridCol w:w="3168"/>
      </w:tblGrid>
      <w:tr w:rsidR="003622ED" w:rsidTr="00B416DD">
        <w:trPr>
          <w:trHeight w:hRule="exact" w:val="397"/>
          <w:jc w:val="center"/>
        </w:trPr>
        <w:tc>
          <w:tcPr>
            <w:tcW w:w="2943" w:type="dxa"/>
            <w:tcBorders>
              <w:top w:val="single" w:sz="8" w:space="0" w:color="FFFFFF"/>
              <w:left w:val="single" w:sz="8" w:space="0" w:color="FFFFFF"/>
              <w:bottom w:val="single" w:sz="24" w:space="0" w:color="FFFFFF"/>
              <w:right w:val="single" w:sz="8" w:space="0" w:color="FFFFFF"/>
            </w:tcBorders>
            <w:shd w:val="clear" w:color="auto" w:fill="10ADDA"/>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p>
        </w:tc>
        <w:tc>
          <w:tcPr>
            <w:tcW w:w="3527" w:type="dxa"/>
            <w:tcBorders>
              <w:top w:val="single" w:sz="8" w:space="0" w:color="FFFFFF"/>
              <w:left w:val="single" w:sz="8" w:space="0" w:color="FFFFFF"/>
              <w:bottom w:val="single" w:sz="24" w:space="0" w:color="FFFFFF"/>
              <w:right w:val="single" w:sz="8" w:space="0" w:color="FFFFFF"/>
            </w:tcBorders>
            <w:shd w:val="clear" w:color="auto" w:fill="10ADDA"/>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b/>
                <w:color w:val="FFFFFF"/>
                <w:sz w:val="22"/>
                <w:szCs w:val="22"/>
              </w:rPr>
              <w:t>GEO</w:t>
            </w:r>
          </w:p>
        </w:tc>
        <w:tc>
          <w:tcPr>
            <w:tcW w:w="3168" w:type="dxa"/>
            <w:tcBorders>
              <w:top w:val="single" w:sz="8" w:space="0" w:color="FFFFFF"/>
              <w:left w:val="single" w:sz="8" w:space="0" w:color="FFFFFF"/>
              <w:bottom w:val="single" w:sz="24" w:space="0" w:color="FFFFFF"/>
              <w:right w:val="single" w:sz="8" w:space="0" w:color="FFFFFF"/>
            </w:tcBorders>
            <w:shd w:val="clear" w:color="auto" w:fill="10ADDA"/>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b/>
                <w:color w:val="FFFFFF"/>
                <w:sz w:val="22"/>
                <w:szCs w:val="22"/>
              </w:rPr>
              <w:t>LEO</w:t>
            </w:r>
          </w:p>
        </w:tc>
      </w:tr>
      <w:tr w:rsidR="003622ED" w:rsidTr="00B416DD">
        <w:trPr>
          <w:trHeight w:hRule="exact" w:val="397"/>
          <w:jc w:val="center"/>
        </w:trPr>
        <w:tc>
          <w:tcPr>
            <w:tcW w:w="2943" w:type="dxa"/>
            <w:tcBorders>
              <w:top w:val="single" w:sz="24"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3622ED" w:rsidRPr="003622ED" w:rsidRDefault="009E0CAB" w:rsidP="00B416DD">
            <w:pPr>
              <w:pStyle w:val="normal0"/>
              <w:jc w:val="left"/>
              <w:rPr>
                <w:rFonts w:asciiTheme="minorHAnsi" w:hAnsiTheme="minorHAnsi"/>
                <w:sz w:val="22"/>
                <w:szCs w:val="22"/>
              </w:rPr>
            </w:pPr>
            <w:r>
              <w:rPr>
                <w:rFonts w:asciiTheme="minorHAnsi" w:hAnsiTheme="minorHAnsi"/>
                <w:sz w:val="22"/>
                <w:szCs w:val="22"/>
              </w:rPr>
              <w:t>Spatial coverage</w:t>
            </w:r>
          </w:p>
        </w:tc>
        <w:tc>
          <w:tcPr>
            <w:tcW w:w="3527" w:type="dxa"/>
            <w:tcBorders>
              <w:top w:val="single" w:sz="24"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3622ED" w:rsidRPr="003622ED" w:rsidRDefault="009E0CAB" w:rsidP="00B416DD">
            <w:pPr>
              <w:pStyle w:val="normal0"/>
              <w:jc w:val="left"/>
              <w:rPr>
                <w:rFonts w:asciiTheme="minorHAnsi" w:hAnsiTheme="minorHAnsi"/>
                <w:sz w:val="22"/>
                <w:szCs w:val="22"/>
              </w:rPr>
            </w:pPr>
            <w:r>
              <w:rPr>
                <w:rFonts w:asciiTheme="minorHAnsi" w:hAnsiTheme="minorHAnsi"/>
                <w:sz w:val="22"/>
                <w:szCs w:val="22"/>
              </w:rPr>
              <w:t>Disc</w:t>
            </w:r>
          </w:p>
        </w:tc>
        <w:tc>
          <w:tcPr>
            <w:tcW w:w="3168" w:type="dxa"/>
            <w:tcBorders>
              <w:top w:val="single" w:sz="24"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3622ED" w:rsidRPr="003622ED" w:rsidRDefault="009E0CAB" w:rsidP="00B416DD">
            <w:pPr>
              <w:pStyle w:val="normal0"/>
              <w:jc w:val="left"/>
              <w:rPr>
                <w:rFonts w:asciiTheme="minorHAnsi" w:hAnsiTheme="minorHAnsi"/>
                <w:sz w:val="22"/>
                <w:szCs w:val="22"/>
              </w:rPr>
            </w:pPr>
            <w:r>
              <w:rPr>
                <w:rFonts w:asciiTheme="minorHAnsi" w:hAnsiTheme="minorHAnsi"/>
                <w:sz w:val="22"/>
                <w:szCs w:val="22"/>
              </w:rPr>
              <w:t>Global</w:t>
            </w:r>
          </w:p>
        </w:tc>
      </w:tr>
      <w:tr w:rsidR="003622ED" w:rsidTr="00B416DD">
        <w:trPr>
          <w:trHeight w:hRule="exact" w:val="397"/>
          <w:jc w:val="center"/>
        </w:trPr>
        <w:tc>
          <w:tcPr>
            <w:tcW w:w="2943" w:type="dxa"/>
            <w:tcBorders>
              <w:top w:val="single" w:sz="8" w:space="0" w:color="FFFFFF"/>
              <w:left w:val="single" w:sz="8" w:space="0" w:color="FFFFFF"/>
              <w:bottom w:val="single" w:sz="8" w:space="0" w:color="FFFFFF"/>
              <w:right w:val="single" w:sz="8" w:space="0" w:color="FFFFFF"/>
            </w:tcBorders>
            <w:shd w:val="clear" w:color="auto" w:fill="E7F1F8"/>
            <w:tcMar>
              <w:top w:w="72" w:type="dxa"/>
              <w:left w:w="144" w:type="dxa"/>
              <w:bottom w:w="72" w:type="dxa"/>
              <w:right w:w="144" w:type="dxa"/>
            </w:tcMar>
            <w:vAlign w:val="center"/>
          </w:tcPr>
          <w:p w:rsidR="003622ED" w:rsidRPr="003622ED" w:rsidRDefault="009E0CAB" w:rsidP="00B416DD">
            <w:pPr>
              <w:pStyle w:val="normal0"/>
              <w:jc w:val="left"/>
              <w:rPr>
                <w:rFonts w:asciiTheme="minorHAnsi" w:hAnsiTheme="minorHAnsi"/>
                <w:sz w:val="22"/>
                <w:szCs w:val="22"/>
              </w:rPr>
            </w:pPr>
            <w:r w:rsidRPr="003622ED">
              <w:rPr>
                <w:rFonts w:asciiTheme="minorHAnsi" w:eastAsia="Arial" w:hAnsiTheme="minorHAnsi" w:cs="Arial"/>
                <w:sz w:val="22"/>
                <w:szCs w:val="22"/>
              </w:rPr>
              <w:t>Spatial resolution</w:t>
            </w:r>
          </w:p>
        </w:tc>
        <w:tc>
          <w:tcPr>
            <w:tcW w:w="3527" w:type="dxa"/>
            <w:tcBorders>
              <w:top w:val="single" w:sz="8" w:space="0" w:color="FFFFFF"/>
              <w:left w:val="single" w:sz="8" w:space="0" w:color="FFFFFF"/>
              <w:bottom w:val="single" w:sz="8" w:space="0" w:color="FFFFFF"/>
              <w:right w:val="single" w:sz="8" w:space="0" w:color="FFFFFF"/>
            </w:tcBorders>
            <w:shd w:val="clear" w:color="auto" w:fill="E7F1F8"/>
            <w:tcMar>
              <w:top w:w="72" w:type="dxa"/>
              <w:left w:w="144" w:type="dxa"/>
              <w:bottom w:w="72" w:type="dxa"/>
              <w:right w:w="144" w:type="dxa"/>
            </w:tcMar>
            <w:vAlign w:val="center"/>
          </w:tcPr>
          <w:p w:rsidR="003622ED" w:rsidRPr="003622ED" w:rsidRDefault="009E0CAB" w:rsidP="00B416DD">
            <w:pPr>
              <w:pStyle w:val="normal0"/>
              <w:jc w:val="left"/>
              <w:rPr>
                <w:rFonts w:asciiTheme="minorHAnsi" w:hAnsiTheme="minorHAnsi"/>
                <w:sz w:val="22"/>
                <w:szCs w:val="22"/>
              </w:rPr>
            </w:pPr>
            <w:r w:rsidRPr="003622ED">
              <w:rPr>
                <w:rFonts w:asciiTheme="minorHAnsi" w:eastAsia="Arial" w:hAnsiTheme="minorHAnsi" w:cs="Arial"/>
                <w:sz w:val="22"/>
                <w:szCs w:val="22"/>
              </w:rPr>
              <w:t>Coarse</w:t>
            </w:r>
          </w:p>
        </w:tc>
        <w:tc>
          <w:tcPr>
            <w:tcW w:w="3168" w:type="dxa"/>
            <w:tcBorders>
              <w:top w:val="single" w:sz="8" w:space="0" w:color="FFFFFF"/>
              <w:left w:val="single" w:sz="8" w:space="0" w:color="FFFFFF"/>
              <w:bottom w:val="single" w:sz="8" w:space="0" w:color="FFFFFF"/>
              <w:right w:val="single" w:sz="8" w:space="0" w:color="FFFFFF"/>
            </w:tcBorders>
            <w:shd w:val="clear" w:color="auto" w:fill="E7F1F8"/>
            <w:tcMar>
              <w:top w:w="72" w:type="dxa"/>
              <w:left w:w="144" w:type="dxa"/>
              <w:bottom w:w="72" w:type="dxa"/>
              <w:right w:w="144" w:type="dxa"/>
            </w:tcMar>
            <w:vAlign w:val="center"/>
          </w:tcPr>
          <w:p w:rsidR="003622ED" w:rsidRPr="003622ED" w:rsidRDefault="009E0CAB" w:rsidP="00B416DD">
            <w:pPr>
              <w:pStyle w:val="normal0"/>
              <w:jc w:val="left"/>
              <w:rPr>
                <w:rFonts w:asciiTheme="minorHAnsi" w:hAnsiTheme="minorHAnsi"/>
                <w:sz w:val="22"/>
                <w:szCs w:val="22"/>
              </w:rPr>
            </w:pPr>
            <w:r w:rsidRPr="003622ED">
              <w:rPr>
                <w:rFonts w:asciiTheme="minorHAnsi" w:eastAsia="Arial" w:hAnsiTheme="minorHAnsi" w:cs="Arial"/>
                <w:sz w:val="22"/>
                <w:szCs w:val="22"/>
              </w:rPr>
              <w:t>Fine</w:t>
            </w:r>
          </w:p>
        </w:tc>
      </w:tr>
      <w:tr w:rsidR="009E0CAB" w:rsidTr="00B416DD">
        <w:trPr>
          <w:trHeight w:hRule="exact" w:val="397"/>
          <w:jc w:val="center"/>
        </w:trPr>
        <w:tc>
          <w:tcPr>
            <w:tcW w:w="2943" w:type="dxa"/>
            <w:tcBorders>
              <w:top w:val="single" w:sz="8" w:space="0" w:color="FFFFFF"/>
              <w:left w:val="single" w:sz="8" w:space="0" w:color="FFFFFF"/>
              <w:bottom w:val="single" w:sz="8" w:space="0" w:color="FFFFFF"/>
              <w:right w:val="single" w:sz="8" w:space="0" w:color="FFFFFF"/>
            </w:tcBorders>
            <w:shd w:val="clear" w:color="auto" w:fill="E7F1F8"/>
            <w:tcMar>
              <w:top w:w="72" w:type="dxa"/>
              <w:left w:w="144" w:type="dxa"/>
              <w:bottom w:w="72" w:type="dxa"/>
              <w:right w:w="144" w:type="dxa"/>
            </w:tcMar>
            <w:vAlign w:val="center"/>
          </w:tcPr>
          <w:p w:rsidR="009E0CAB" w:rsidRPr="003622ED" w:rsidRDefault="009E0CAB" w:rsidP="00B416DD">
            <w:pPr>
              <w:pStyle w:val="normal0"/>
              <w:rPr>
                <w:rFonts w:asciiTheme="minorHAnsi" w:eastAsia="Arial" w:hAnsiTheme="minorHAnsi" w:cs="Arial"/>
                <w:sz w:val="22"/>
                <w:szCs w:val="22"/>
              </w:rPr>
            </w:pPr>
            <w:r w:rsidRPr="003622ED">
              <w:rPr>
                <w:rFonts w:asciiTheme="minorHAnsi" w:eastAsia="Arial" w:hAnsiTheme="minorHAnsi" w:cs="Arial"/>
                <w:sz w:val="22"/>
                <w:szCs w:val="22"/>
              </w:rPr>
              <w:t>Temporal resolution</w:t>
            </w:r>
          </w:p>
        </w:tc>
        <w:tc>
          <w:tcPr>
            <w:tcW w:w="3527" w:type="dxa"/>
            <w:tcBorders>
              <w:top w:val="single" w:sz="8" w:space="0" w:color="FFFFFF"/>
              <w:left w:val="single" w:sz="8" w:space="0" w:color="FFFFFF"/>
              <w:bottom w:val="single" w:sz="8" w:space="0" w:color="FFFFFF"/>
              <w:right w:val="single" w:sz="8" w:space="0" w:color="FFFFFF"/>
            </w:tcBorders>
            <w:shd w:val="clear" w:color="auto" w:fill="E7F1F8"/>
            <w:tcMar>
              <w:top w:w="72" w:type="dxa"/>
              <w:left w:w="144" w:type="dxa"/>
              <w:bottom w:w="72" w:type="dxa"/>
              <w:right w:w="144" w:type="dxa"/>
            </w:tcMar>
            <w:vAlign w:val="center"/>
          </w:tcPr>
          <w:p w:rsidR="009E0CAB" w:rsidRPr="003622ED" w:rsidRDefault="009E0CAB" w:rsidP="00B416DD">
            <w:pPr>
              <w:pStyle w:val="normal0"/>
              <w:rPr>
                <w:rFonts w:asciiTheme="minorHAnsi" w:eastAsia="Arial" w:hAnsiTheme="minorHAnsi" w:cs="Arial"/>
                <w:sz w:val="22"/>
                <w:szCs w:val="22"/>
              </w:rPr>
            </w:pPr>
            <w:r w:rsidRPr="003622ED">
              <w:rPr>
                <w:rFonts w:asciiTheme="minorHAnsi" w:eastAsia="Arial" w:hAnsiTheme="minorHAnsi" w:cs="Arial"/>
                <w:sz w:val="22"/>
                <w:szCs w:val="22"/>
              </w:rPr>
              <w:t>Fine</w:t>
            </w:r>
          </w:p>
        </w:tc>
        <w:tc>
          <w:tcPr>
            <w:tcW w:w="3168" w:type="dxa"/>
            <w:tcBorders>
              <w:top w:val="single" w:sz="8" w:space="0" w:color="FFFFFF"/>
              <w:left w:val="single" w:sz="8" w:space="0" w:color="FFFFFF"/>
              <w:bottom w:val="single" w:sz="8" w:space="0" w:color="FFFFFF"/>
              <w:right w:val="single" w:sz="8" w:space="0" w:color="FFFFFF"/>
            </w:tcBorders>
            <w:shd w:val="clear" w:color="auto" w:fill="E7F1F8"/>
            <w:tcMar>
              <w:top w:w="72" w:type="dxa"/>
              <w:left w:w="144" w:type="dxa"/>
              <w:bottom w:w="72" w:type="dxa"/>
              <w:right w:w="144" w:type="dxa"/>
            </w:tcMar>
            <w:vAlign w:val="center"/>
          </w:tcPr>
          <w:p w:rsidR="009E0CAB" w:rsidRPr="003622ED" w:rsidRDefault="009E0CAB" w:rsidP="00B416DD">
            <w:pPr>
              <w:pStyle w:val="normal0"/>
              <w:rPr>
                <w:rFonts w:asciiTheme="minorHAnsi" w:eastAsia="Arial" w:hAnsiTheme="minorHAnsi" w:cs="Arial"/>
                <w:sz w:val="22"/>
                <w:szCs w:val="22"/>
              </w:rPr>
            </w:pPr>
            <w:r w:rsidRPr="003622ED">
              <w:rPr>
                <w:rFonts w:asciiTheme="minorHAnsi" w:eastAsia="Arial" w:hAnsiTheme="minorHAnsi" w:cs="Arial"/>
                <w:sz w:val="22"/>
                <w:szCs w:val="22"/>
              </w:rPr>
              <w:t>Coarse</w:t>
            </w:r>
          </w:p>
        </w:tc>
      </w:tr>
      <w:tr w:rsidR="003622ED" w:rsidTr="00B416DD">
        <w:trPr>
          <w:trHeight w:hRule="exact" w:val="397"/>
          <w:jc w:val="center"/>
        </w:trPr>
        <w:tc>
          <w:tcPr>
            <w:tcW w:w="2943"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sz w:val="22"/>
                <w:szCs w:val="22"/>
              </w:rPr>
              <w:t>Spectral coverage</w:t>
            </w:r>
          </w:p>
        </w:tc>
        <w:tc>
          <w:tcPr>
            <w:tcW w:w="3527"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sz w:val="22"/>
                <w:szCs w:val="22"/>
              </w:rPr>
              <w:t>Similar</w:t>
            </w:r>
          </w:p>
        </w:tc>
        <w:tc>
          <w:tcPr>
            <w:tcW w:w="3168"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sz w:val="22"/>
                <w:szCs w:val="22"/>
              </w:rPr>
              <w:t>Similar</w:t>
            </w:r>
          </w:p>
        </w:tc>
      </w:tr>
      <w:tr w:rsidR="009E0CAB" w:rsidTr="00B416DD">
        <w:trPr>
          <w:trHeight w:hRule="exact" w:val="397"/>
          <w:jc w:val="center"/>
        </w:trPr>
        <w:tc>
          <w:tcPr>
            <w:tcW w:w="2943"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9E0CAB" w:rsidRPr="003622ED" w:rsidRDefault="009E0CAB" w:rsidP="00B416DD">
            <w:pPr>
              <w:pStyle w:val="normal0"/>
              <w:rPr>
                <w:rFonts w:asciiTheme="minorHAnsi" w:eastAsia="Arial" w:hAnsiTheme="minorHAnsi" w:cs="Arial"/>
                <w:sz w:val="22"/>
                <w:szCs w:val="22"/>
              </w:rPr>
            </w:pPr>
            <w:r>
              <w:rPr>
                <w:rFonts w:asciiTheme="minorHAnsi" w:eastAsia="Arial" w:hAnsiTheme="minorHAnsi" w:cs="Arial"/>
                <w:sz w:val="22"/>
                <w:szCs w:val="22"/>
              </w:rPr>
              <w:t>Spectral resolution</w:t>
            </w:r>
          </w:p>
        </w:tc>
        <w:tc>
          <w:tcPr>
            <w:tcW w:w="3527"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9E0CAB" w:rsidRPr="003622ED" w:rsidRDefault="009E0CAB" w:rsidP="00B416DD">
            <w:pPr>
              <w:pStyle w:val="normal0"/>
              <w:rPr>
                <w:rFonts w:asciiTheme="minorHAnsi" w:eastAsia="Arial" w:hAnsiTheme="minorHAnsi" w:cs="Arial"/>
                <w:sz w:val="22"/>
                <w:szCs w:val="22"/>
              </w:rPr>
            </w:pPr>
            <w:r>
              <w:rPr>
                <w:rFonts w:asciiTheme="minorHAnsi" w:eastAsia="Arial" w:hAnsiTheme="minorHAnsi" w:cs="Arial"/>
                <w:sz w:val="22"/>
                <w:szCs w:val="22"/>
              </w:rPr>
              <w:t>Similar</w:t>
            </w:r>
          </w:p>
        </w:tc>
        <w:tc>
          <w:tcPr>
            <w:tcW w:w="3168"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9E0CAB" w:rsidRPr="003622ED" w:rsidRDefault="009E0CAB" w:rsidP="00B416DD">
            <w:pPr>
              <w:pStyle w:val="normal0"/>
              <w:rPr>
                <w:rFonts w:asciiTheme="minorHAnsi" w:eastAsia="Arial" w:hAnsiTheme="minorHAnsi" w:cs="Arial"/>
                <w:sz w:val="22"/>
                <w:szCs w:val="22"/>
              </w:rPr>
            </w:pPr>
            <w:r>
              <w:rPr>
                <w:rFonts w:asciiTheme="minorHAnsi" w:eastAsia="Arial" w:hAnsiTheme="minorHAnsi" w:cs="Arial"/>
                <w:sz w:val="22"/>
                <w:szCs w:val="22"/>
              </w:rPr>
              <w:t>Similar</w:t>
            </w:r>
          </w:p>
        </w:tc>
      </w:tr>
      <w:tr w:rsidR="003622ED" w:rsidTr="00B416DD">
        <w:trPr>
          <w:trHeight w:hRule="exact" w:val="397"/>
          <w:jc w:val="center"/>
        </w:trPr>
        <w:tc>
          <w:tcPr>
            <w:tcW w:w="2943" w:type="dxa"/>
            <w:tcBorders>
              <w:top w:val="single" w:sz="8" w:space="0" w:color="FFFFFF"/>
              <w:left w:val="single" w:sz="8" w:space="0" w:color="FFFFFF"/>
              <w:bottom w:val="single" w:sz="8" w:space="0" w:color="FFFFFF"/>
              <w:right w:val="single" w:sz="8" w:space="0" w:color="FFFFFF"/>
            </w:tcBorders>
            <w:shd w:val="clear" w:color="auto" w:fill="E7F1F8"/>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sz w:val="22"/>
                <w:szCs w:val="22"/>
              </w:rPr>
              <w:t>View geometry</w:t>
            </w:r>
          </w:p>
        </w:tc>
        <w:tc>
          <w:tcPr>
            <w:tcW w:w="3527" w:type="dxa"/>
            <w:tcBorders>
              <w:top w:val="single" w:sz="8" w:space="0" w:color="FFFFFF"/>
              <w:left w:val="single" w:sz="8" w:space="0" w:color="FFFFFF"/>
              <w:bottom w:val="single" w:sz="8" w:space="0" w:color="FFFFFF"/>
              <w:right w:val="single" w:sz="8" w:space="0" w:color="FFFFFF"/>
            </w:tcBorders>
            <w:shd w:val="clear" w:color="auto" w:fill="E7F1F8"/>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sz w:val="22"/>
                <w:szCs w:val="22"/>
              </w:rPr>
              <w:t>Fixed</w:t>
            </w:r>
          </w:p>
        </w:tc>
        <w:tc>
          <w:tcPr>
            <w:tcW w:w="3168" w:type="dxa"/>
            <w:tcBorders>
              <w:top w:val="single" w:sz="8" w:space="0" w:color="FFFFFF"/>
              <w:left w:val="single" w:sz="8" w:space="0" w:color="FFFFFF"/>
              <w:bottom w:val="single" w:sz="8" w:space="0" w:color="FFFFFF"/>
              <w:right w:val="single" w:sz="8" w:space="0" w:color="FFFFFF"/>
            </w:tcBorders>
            <w:shd w:val="clear" w:color="auto" w:fill="E7F1F8"/>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sz w:val="22"/>
                <w:szCs w:val="22"/>
              </w:rPr>
              <w:t>Varying</w:t>
            </w:r>
          </w:p>
        </w:tc>
      </w:tr>
      <w:tr w:rsidR="003622ED" w:rsidTr="00B416DD">
        <w:trPr>
          <w:trHeight w:hRule="exact" w:val="397"/>
          <w:jc w:val="center"/>
        </w:trPr>
        <w:tc>
          <w:tcPr>
            <w:tcW w:w="2943"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sz w:val="22"/>
                <w:szCs w:val="22"/>
              </w:rPr>
              <w:t>Illumination geometry</w:t>
            </w:r>
          </w:p>
        </w:tc>
        <w:tc>
          <w:tcPr>
            <w:tcW w:w="3527"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sz w:val="22"/>
                <w:szCs w:val="22"/>
              </w:rPr>
              <w:t>Varying (full diurnal cycle)</w:t>
            </w:r>
          </w:p>
        </w:tc>
        <w:tc>
          <w:tcPr>
            <w:tcW w:w="3168"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3622ED" w:rsidRPr="003622ED" w:rsidRDefault="003622ED" w:rsidP="00B416DD">
            <w:pPr>
              <w:pStyle w:val="normal0"/>
              <w:jc w:val="left"/>
              <w:rPr>
                <w:rFonts w:asciiTheme="minorHAnsi" w:hAnsiTheme="minorHAnsi"/>
                <w:sz w:val="22"/>
                <w:szCs w:val="22"/>
              </w:rPr>
            </w:pPr>
            <w:r w:rsidRPr="003622ED">
              <w:rPr>
                <w:rFonts w:asciiTheme="minorHAnsi" w:eastAsia="Arial" w:hAnsiTheme="minorHAnsi" w:cs="Arial"/>
                <w:sz w:val="22"/>
                <w:szCs w:val="22"/>
              </w:rPr>
              <w:t>~Fixed</w:t>
            </w:r>
          </w:p>
        </w:tc>
      </w:tr>
      <w:tr w:rsidR="009E0CAB" w:rsidTr="00B416DD">
        <w:trPr>
          <w:trHeight w:hRule="exact" w:val="397"/>
          <w:jc w:val="center"/>
        </w:trPr>
        <w:tc>
          <w:tcPr>
            <w:tcW w:w="2943"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9E0CAB" w:rsidRPr="003622ED" w:rsidRDefault="009E0CAB" w:rsidP="00B416DD">
            <w:pPr>
              <w:pStyle w:val="normal0"/>
              <w:rPr>
                <w:rFonts w:asciiTheme="minorHAnsi" w:eastAsia="Arial" w:hAnsiTheme="minorHAnsi" w:cs="Arial"/>
                <w:sz w:val="22"/>
                <w:szCs w:val="22"/>
              </w:rPr>
            </w:pPr>
            <w:r>
              <w:rPr>
                <w:rFonts w:asciiTheme="minorHAnsi" w:eastAsia="Arial" w:hAnsiTheme="minorHAnsi" w:cs="Arial"/>
                <w:sz w:val="22"/>
                <w:szCs w:val="22"/>
              </w:rPr>
              <w:t>Instrumentation</w:t>
            </w:r>
          </w:p>
        </w:tc>
        <w:tc>
          <w:tcPr>
            <w:tcW w:w="3527"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9E0CAB" w:rsidRPr="003622ED" w:rsidRDefault="009E0CAB" w:rsidP="00B416DD">
            <w:pPr>
              <w:pStyle w:val="normal0"/>
              <w:rPr>
                <w:rFonts w:asciiTheme="minorHAnsi" w:eastAsia="Arial" w:hAnsiTheme="minorHAnsi" w:cs="Arial"/>
                <w:sz w:val="22"/>
                <w:szCs w:val="22"/>
              </w:rPr>
            </w:pPr>
            <w:r>
              <w:rPr>
                <w:rFonts w:asciiTheme="minorHAnsi" w:eastAsia="Arial" w:hAnsiTheme="minorHAnsi" w:cs="Arial"/>
                <w:sz w:val="22"/>
                <w:szCs w:val="22"/>
              </w:rPr>
              <w:t>(predominantly or only) passive</w:t>
            </w:r>
          </w:p>
        </w:tc>
        <w:tc>
          <w:tcPr>
            <w:tcW w:w="3168" w:type="dxa"/>
            <w:tcBorders>
              <w:top w:val="single" w:sz="8" w:space="0" w:color="FFFFFF"/>
              <w:left w:val="single" w:sz="8" w:space="0" w:color="FFFFFF"/>
              <w:bottom w:val="single" w:sz="8" w:space="0" w:color="FFFFFF"/>
              <w:right w:val="single" w:sz="8" w:space="0" w:color="FFFFFF"/>
            </w:tcBorders>
            <w:shd w:val="clear" w:color="auto" w:fill="CCE3F1"/>
            <w:tcMar>
              <w:top w:w="72" w:type="dxa"/>
              <w:left w:w="144" w:type="dxa"/>
              <w:bottom w:w="72" w:type="dxa"/>
              <w:right w:w="144" w:type="dxa"/>
            </w:tcMar>
            <w:vAlign w:val="center"/>
          </w:tcPr>
          <w:p w:rsidR="009E0CAB" w:rsidRPr="003622ED" w:rsidRDefault="009E0CAB" w:rsidP="00B416DD">
            <w:pPr>
              <w:pStyle w:val="normal0"/>
              <w:rPr>
                <w:rFonts w:asciiTheme="minorHAnsi" w:eastAsia="Arial" w:hAnsiTheme="minorHAnsi" w:cs="Arial"/>
                <w:sz w:val="22"/>
                <w:szCs w:val="22"/>
              </w:rPr>
            </w:pPr>
            <w:r>
              <w:rPr>
                <w:rFonts w:asciiTheme="minorHAnsi" w:eastAsia="Arial" w:hAnsiTheme="minorHAnsi" w:cs="Arial"/>
                <w:sz w:val="22"/>
                <w:szCs w:val="22"/>
              </w:rPr>
              <w:t>Passive and active</w:t>
            </w:r>
          </w:p>
        </w:tc>
      </w:tr>
    </w:tbl>
    <w:p w:rsidR="00BF7AEB" w:rsidRDefault="00BF7AEB" w:rsidP="00BF7AEB">
      <w:pPr>
        <w:pStyle w:val="Heading2"/>
      </w:pPr>
      <w:bookmarkStart w:id="69" w:name="_Toc460923844"/>
      <w:r>
        <w:t>Basic Pre-requisites and Requirements</w:t>
      </w:r>
      <w:bookmarkEnd w:id="69"/>
    </w:p>
    <w:p w:rsidR="00BF7AEB" w:rsidRDefault="00BF7AEB" w:rsidP="00BF7AEB">
      <w:r>
        <w:t>If an EO application shall be derived from the synergetic use of a GEO and LEO product (or several products), some aspects must be discussed. From the perspective of the target information of an EO application, the uncertainty level must be known to a certain extent in order to estimate in a first step whether a merge of different information is in principle possible. It is clear that input around a 10% level uncertainty won’t produce output around a 1% level uncertainty. It makes no sense trying the derivation of a high-quality data product in uncertainty if the input does not allow. However, one can turn around this paradigm into the formulation that from high-quality input one may estimate output at a quality level to be expected. This quality level is not only dependent from the quality level of the input but also from dependent from the merging process which will be usually influenced by different issues:</w:t>
      </w:r>
    </w:p>
    <w:p w:rsidR="00BF7AEB" w:rsidRDefault="00BF7AEB" w:rsidP="00BF7AEB">
      <w:pPr>
        <w:pStyle w:val="ListBullet2"/>
        <w:ind w:left="792" w:hanging="202"/>
        <w:contextualSpacing w:val="0"/>
      </w:pPr>
      <w:r>
        <w:t>The quality of the input and the algorithms has not been sufficiently evaluated;</w:t>
      </w:r>
    </w:p>
    <w:p w:rsidR="00BF7AEB" w:rsidRDefault="00BF7AEB" w:rsidP="00BF7AEB">
      <w:pPr>
        <w:pStyle w:val="ListBullet2"/>
        <w:ind w:left="792" w:hanging="202"/>
        <w:contextualSpacing w:val="0"/>
      </w:pPr>
      <w:r>
        <w:t>Sensors must be calibrated against the same standards so that their results become comparable;</w:t>
      </w:r>
    </w:p>
    <w:p w:rsidR="00BF7AEB" w:rsidRDefault="00BF7AEB" w:rsidP="00BF7AEB">
      <w:pPr>
        <w:pStyle w:val="ListBullet2"/>
        <w:ind w:left="792" w:hanging="202"/>
        <w:contextualSpacing w:val="0"/>
      </w:pPr>
      <w:r>
        <w:t>Typically, sensors do need corrections in order to be matched. The spectral response function is a typical sensor-specific quantity which may lead for two sensors to different results in similar bands. Similar, cross-sensor co-registration errors must be taken into account. It shall not be omitted that those can be found also on one satellite platform between two optical parts of one spectrometer.</w:t>
      </w:r>
    </w:p>
    <w:p w:rsidR="00BF7AEB" w:rsidRDefault="00BF7AEB" w:rsidP="00BF7AEB">
      <w:r>
        <w:t>The first item is related to the validation of data products and the underlying algorithms. In order to clearly quantify how good a derived data product is, the validation is carried out versus independent measurements of the same quantity from which the uncertainty is known so that an error budget can be derived for this data product. CEOS WGCV is currently developing in different branches - finally based on the QA4EO principles – principles, rules, and metrics for the calibration and validation of data products. The different activities encompass the definition of validation protocols (e.g. [LAI]), the anticipation of the “fiducial reference measurement” system which is currently successfully applied to Sea surface Temperature together with the SST-VC and will be part of additional systems, and set-up of vicarious calibration sites into networks with a unified processing approach (RADCALNET). Aside these activities further efforts exist with emphasis to the quality characterization of both, level 1 and level 2 data for individual sensors from mostly LEO platforms, traditionally. From this perspective, the calibration of sensors against an acknowledged standard, the discussion of mismatch between the spectral response function of two sensors, and co-registration error are part of the discussion in several parts of CEOS WGCV. Those activities are basis knowhow to start further activities regarding algorithm evaluation for emerging issues.</w:t>
      </w:r>
    </w:p>
    <w:p w:rsidR="00BF7AEB" w:rsidRDefault="00BF7AEB" w:rsidP="00BF7AEB">
      <w:r>
        <w:t>In contrast WMO/GSICS activities were dedicated from its early beginning to the harmonization of the calibration of different meteorological sensors. This inter-calibration approach which is usually tied to one sensor as reference for the others, allows the comparability of sensors on different GEO platforms and in its ideal case the set-up of synergistic use of GEO-GEO measurements of the similar type/quantity. For global products derived from the GEO ring, there is an additional requirement to intercalibrate the GEOs, possibly via the LEOs. Much work has already been done to use LEOs to calibrate GEOs and such work becomes critical for applications that merge GEO and LEO data. CEOS WGCV and WMO/GSICS have expertise to offer in this area, and the GSICS framework for routine collection and analysis of simultaneous observations by spacecraft pairs will be a valuable resource. As pointed also out above the secondary effect to consider is that the target spectral shape influences the effective calibration (Vermote and Kaufman, 1995; Minnis et al., 2002), and that this effect is complicated by differences between sensor spectral response shapes.</w:t>
      </w:r>
    </w:p>
    <w:p w:rsidR="00BF7AEB" w:rsidRDefault="00BF7AEB" w:rsidP="00BF7AEB">
      <w:r>
        <w:t>An issue which is well-known to imagers with separate optical paths in different spectral channels is the co-registration between the different spectral channels. Usually, a pre-flight characterization is used to minimize that effect. However, such an effect must be also taken into account for cross-sensor comparisons. There is some experience with CEOS and CGMS members for cross-sensors co-registration in order to reduce the noise introduced by misalignment.</w:t>
      </w:r>
    </w:p>
    <w:p w:rsidR="00BF7AEB" w:rsidRDefault="00BF7AEB" w:rsidP="00BF7AEB">
      <w:r>
        <w:t>The adoption of data standards to facilitate the development and operational processing of joint algorithms, is another issue which must be also taken into account because Earth Observation applications are not further part of a single “laboratory event” but today thought as a societal benefit which means that those are always developed with the goal to achieve a service to the mankind. The size of data infrastructure required to produce and deliver large global datasets from the new GEOs is if anything greater when extended to synergistic use with LEOs. And similarly it will be necessary to take advantage of modern data approaches as guided, for instance, by the CEOS Initiative on Future Data Architectures.</w:t>
      </w:r>
    </w:p>
    <w:p w:rsidR="004A1983" w:rsidRPr="004A1983" w:rsidRDefault="004A1983" w:rsidP="00BF7AEB">
      <w:pPr>
        <w:rPr>
          <w:color w:val="FF0000"/>
        </w:rPr>
      </w:pPr>
      <w:r>
        <w:rPr>
          <w:color w:val="FF0000"/>
        </w:rPr>
        <w:t>[</w:t>
      </w:r>
      <w:r w:rsidR="00A979D9">
        <w:rPr>
          <w:color w:val="FF0000"/>
        </w:rPr>
        <w:t xml:space="preserve">TBD - </w:t>
      </w:r>
      <w:r w:rsidRPr="004A1983">
        <w:rPr>
          <w:color w:val="FF0000"/>
        </w:rPr>
        <w:t>Need to add a paragraph on high radiometric requirements for ocean colour.</w:t>
      </w:r>
      <w:r>
        <w:rPr>
          <w:color w:val="FF0000"/>
        </w:rPr>
        <w:t>]</w:t>
      </w:r>
    </w:p>
    <w:p w:rsidR="00BF7AEB" w:rsidRPr="00BF7AEB" w:rsidRDefault="00BF7AEB" w:rsidP="00BF7AEB">
      <w:pPr>
        <w:pStyle w:val="Heading2"/>
      </w:pPr>
      <w:bookmarkStart w:id="70" w:name="_Toc460923845"/>
      <w:r w:rsidRPr="00BF7AEB">
        <w:rPr>
          <w:rStyle w:val="IntenseEmphasis"/>
          <w:rFonts w:eastAsia="Calibri"/>
          <w:b w:val="0"/>
          <w:bCs/>
          <w:i w:val="0"/>
          <w:iCs w:val="0"/>
          <w:color w:val="41B6E6"/>
        </w:rPr>
        <w:t>Potential fields of Earth Observation applications</w:t>
      </w:r>
      <w:bookmarkEnd w:id="70"/>
    </w:p>
    <w:p w:rsidR="00BF7AEB" w:rsidRDefault="00BF7AEB" w:rsidP="00BF7AEB">
      <w:r>
        <w:t>In order to outline the potential applications from a synergistic use of GEO and LEO, table xx provides a guide for different settings which combine different characteristics: Combination of spatial and temporal coverage, viewing and illumination conditions, latitudinal coverage, and synergies with other platforms. Note that the discussion is limited to imagers only, but an extension to other sensor systems in another paper can also include the combination of active and passive sensor systems, systematically.</w:t>
      </w:r>
    </w:p>
    <w:p w:rsidR="00BF7AEB" w:rsidRDefault="00BF7AEB" w:rsidP="00BF7AEB">
      <w:pPr>
        <w:pStyle w:val="Heading3"/>
      </w:pPr>
      <w:r w:rsidRPr="00BF7AEB">
        <w:t>Combination</w:t>
      </w:r>
      <w:r>
        <w:t xml:space="preserve"> of spatial and temporal coverage</w:t>
      </w:r>
    </w:p>
    <w:p w:rsidR="00BF7AEB" w:rsidRDefault="00BF7AEB" w:rsidP="00BF7AEB">
      <w:r>
        <w:t>The LEO imagers with daily coverage have spatial resolutions of around 250 m to 1 km, depending on spectral band, compared with 500 m to 2 km for the new GEO imagers. Table XXZ gives the details for some specific sensors. Thus, for nominally equivalent spectral bands, the GEOs provide a data stream comparable to that from the LEOs with somewhat coarser resolution but far denser temporal sampling. This complementarity raises the possibility of creating a merged data stream with the LEO spatial resolution and GEO temporal resolution.</w:t>
      </w:r>
    </w:p>
    <w:p w:rsidR="00BF7AEB" w:rsidRDefault="00BF7AEB" w:rsidP="00BF7AEB">
      <w:r>
        <w:t>Examples from different applications demonstrate the benefit in the combination of the information from high spatial resolution and the information of high temporal resolution: High spatial resolution provides more detailed information in a denser spatial grid and high temporal resolution the small-scale dynamics of a certain data product. The potential for applications can be seen in following areas of interest:</w:t>
      </w:r>
    </w:p>
    <w:p w:rsidR="00BF7AEB" w:rsidRPr="00624DAF" w:rsidRDefault="00BF7AEB" w:rsidP="00624DAF">
      <w:pPr>
        <w:pStyle w:val="ListBullet"/>
        <w:numPr>
          <w:ilvl w:val="0"/>
          <w:numId w:val="0"/>
        </w:numPr>
        <w:rPr>
          <w:b/>
        </w:rPr>
      </w:pPr>
      <w:r w:rsidRPr="00624DAF">
        <w:rPr>
          <w:b/>
        </w:rPr>
        <w:t>For land surface applications based on surface reflectance this includes</w:t>
      </w:r>
      <w:r w:rsidR="00941365" w:rsidRPr="00624DAF">
        <w:rPr>
          <w:b/>
        </w:rPr>
        <w:t>:</w:t>
      </w:r>
    </w:p>
    <w:p w:rsidR="00BF7AEB" w:rsidRDefault="00BF7AEB" w:rsidP="00624DAF">
      <w:pPr>
        <w:pStyle w:val="ListBullet"/>
      </w:pPr>
      <w:r>
        <w:t>agriculture such as harvest, crop monitoring;</w:t>
      </w:r>
    </w:p>
    <w:p w:rsidR="00BF7AEB" w:rsidRDefault="00BF7AEB" w:rsidP="00624DAF">
      <w:pPr>
        <w:pStyle w:val="ListBullet"/>
      </w:pPr>
      <w:r>
        <w:t>burned area monitoring;</w:t>
      </w:r>
    </w:p>
    <w:p w:rsidR="00BF7AEB" w:rsidRDefault="00BF7AEB" w:rsidP="00624DAF">
      <w:pPr>
        <w:pStyle w:val="ListBullet"/>
      </w:pPr>
      <w:r>
        <w:t>transient snow;</w:t>
      </w:r>
    </w:p>
    <w:p w:rsidR="00BF7AEB" w:rsidRDefault="00BF7AEB" w:rsidP="00624DAF">
      <w:pPr>
        <w:pStyle w:val="ListBullet"/>
      </w:pPr>
      <w:r>
        <w:t>enhance LEO flood monitoring with sub-daily resolution;</w:t>
      </w:r>
    </w:p>
    <w:p w:rsidR="00BF7AEB" w:rsidRDefault="00BF7AEB" w:rsidP="004A1983">
      <w:pPr>
        <w:pStyle w:val="ListBullet"/>
        <w:spacing w:after="240"/>
        <w:ind w:left="403" w:hanging="403"/>
        <w:contextualSpacing w:val="0"/>
      </w:pPr>
      <w:r>
        <w:t>Fire hotspots: LEOs have finer resolution and hence typically better sensitivity to small fires but GEOs are better able, for large enough fires, to capture fires early after ignition, and monitor their spread.</w:t>
      </w:r>
    </w:p>
    <w:p w:rsidR="00BF7AEB" w:rsidRPr="00624DAF" w:rsidRDefault="00BF7AEB" w:rsidP="00624DAF">
      <w:pPr>
        <w:pStyle w:val="ListBullet"/>
        <w:numPr>
          <w:ilvl w:val="0"/>
          <w:numId w:val="0"/>
        </w:numPr>
        <w:rPr>
          <w:b/>
        </w:rPr>
      </w:pPr>
      <w:r w:rsidRPr="00624DAF">
        <w:rPr>
          <w:b/>
        </w:rPr>
        <w:t>For ocean application this includes</w:t>
      </w:r>
      <w:r w:rsidR="00941365" w:rsidRPr="00624DAF">
        <w:rPr>
          <w:b/>
        </w:rPr>
        <w:t>:</w:t>
      </w:r>
    </w:p>
    <w:p w:rsidR="00BF7AEB" w:rsidRDefault="00BF7AEB" w:rsidP="00624DAF">
      <w:pPr>
        <w:pStyle w:val="ListBullet"/>
      </w:pPr>
      <w:r>
        <w:t>Currents traced by ocean colour; sediment plumes;</w:t>
      </w:r>
    </w:p>
    <w:p w:rsidR="00BF7AEB" w:rsidRDefault="00BF7AEB" w:rsidP="00624DAF">
      <w:pPr>
        <w:pStyle w:val="ListBullet"/>
      </w:pPr>
      <w:r>
        <w:t>SST fine scale dynamics.</w:t>
      </w:r>
    </w:p>
    <w:p w:rsidR="003622ED" w:rsidRDefault="00BF7AEB" w:rsidP="00BF7AEB">
      <w:r>
        <w:t>Approaches similar to those required have been developed for merging, for instance, MODIS and Landsat for the land surface, albeit at the slower sampling periods of daily and 16 days (Emelyanova et al. 2013; Gao et al. 2006).</w:t>
      </w:r>
    </w:p>
    <w:p w:rsidR="00BF7AEB" w:rsidRDefault="00BF7AEB" w:rsidP="00BF7AEB">
      <w:pPr>
        <w:pStyle w:val="Heading3"/>
      </w:pPr>
      <w:r>
        <w:t>View and illumination conditions</w:t>
      </w:r>
    </w:p>
    <w:p w:rsidR="00BF7AEB" w:rsidRDefault="00BF7AEB" w:rsidP="00BF7AEB">
      <w:r>
        <w:t>As described above, observations from GEO and LEO sensors differ in the characteristics of the view and sun directions at which they are made.  Over a pseudo-regular cycle of several days the view zenith angle at the surface varies over a large range and the solar zenith angle over a small range, while a GEO-based sensor observes a surface location from a constant view direction and samples the full diurnal cycle of sun direction at that location over a single day.</w:t>
      </w:r>
    </w:p>
    <w:p w:rsidR="00BF7AEB" w:rsidRPr="00624DAF" w:rsidRDefault="00BF7AEB" w:rsidP="00BF7AEB">
      <w:pPr>
        <w:rPr>
          <w:b/>
        </w:rPr>
      </w:pPr>
      <w:r w:rsidRPr="00624DAF">
        <w:rPr>
          <w:b/>
        </w:rPr>
        <w:t>Potential applications of the complementary angular geometries include:</w:t>
      </w:r>
    </w:p>
    <w:p w:rsidR="00BF7AEB" w:rsidRDefault="00BF7AEB" w:rsidP="00BF7AEB">
      <w:pPr>
        <w:pStyle w:val="ListBullet"/>
        <w:ind w:left="403" w:hanging="403"/>
        <w:contextualSpacing w:val="0"/>
      </w:pPr>
      <w:r>
        <w:t>Using the extra angular information of simultaneous GEO and LEO observations to decouple aerosol and BRDF effects on land surface reflectance. This will be discussed further in a case study below. Aerosol and BRDF have been simultaneously characterised from LEO platforms by multi-view research sensors such as POLDER, MISR and the (A)ATSR series. Simultaneous GEO and LEO observations from different directions provide a pair of similarly diverse views.</w:t>
      </w:r>
    </w:p>
    <w:p w:rsidR="00BF7AEB" w:rsidRDefault="00BF7AEB" w:rsidP="00BF7AEB">
      <w:pPr>
        <w:pStyle w:val="ListBullet"/>
        <w:ind w:left="403" w:hanging="403"/>
        <w:contextualSpacing w:val="0"/>
      </w:pPr>
      <w:r>
        <w:t>Using the diversity of scattering angles to obtain aerosol properties such as particle shape.</w:t>
      </w:r>
    </w:p>
    <w:p w:rsidR="00BF7AEB" w:rsidRDefault="00BF7AEB" w:rsidP="00BF7AEB">
      <w:pPr>
        <w:pStyle w:val="ListBullet"/>
        <w:ind w:left="403" w:hanging="403"/>
        <w:contextualSpacing w:val="0"/>
      </w:pPr>
      <w:r>
        <w:t>Using GEO-based BRDF models to normalise higher resolution but less frequent LEO observations for angular effects. This could be particularly useful for tracking reflectance and albedo dynamics in persistently cloudy situations such as common in the tropics, and in cases of rapid surface changes such as transient snow and burns, but could potentially improve the quality of all LEO-based land cover dynamics. The application of coarse resolution BRDF models to finer resolution, less frequent observations has been developed in the case, for instance, of MODIS BRDF applied to Landsat (Li et al. 2010).</w:t>
      </w:r>
    </w:p>
    <w:p w:rsidR="00BF7AEB" w:rsidRDefault="00BF7AEB" w:rsidP="00BF7AEB">
      <w:pPr>
        <w:pStyle w:val="ListBullet"/>
        <w:ind w:left="403" w:hanging="403"/>
        <w:contextualSpacing w:val="0"/>
      </w:pPr>
      <w:r>
        <w:t>Using GEO observations to extend the angular sampling of LEOs, thus better constraining BRDF models and reducing the uncertainty of albedo estimates.</w:t>
      </w:r>
    </w:p>
    <w:p w:rsidR="00BF7AEB" w:rsidRDefault="00BF7AEB" w:rsidP="00BF7AEB">
      <w:pPr>
        <w:pStyle w:val="ListBullet"/>
        <w:ind w:left="403" w:hanging="403"/>
        <w:contextualSpacing w:val="0"/>
      </w:pPr>
      <w:r>
        <w:t>Stereo heights of atmospheric features such as clouds and volcanic plumes.</w:t>
      </w:r>
    </w:p>
    <w:p w:rsidR="00BF7AEB" w:rsidRDefault="00BF7AEB" w:rsidP="00BF7AEB">
      <w:pPr>
        <w:pStyle w:val="ListBullet"/>
        <w:ind w:left="403" w:hanging="403"/>
        <w:contextualSpacing w:val="0"/>
      </w:pPr>
      <w:r>
        <w:t>Observations of three-dimensional effects such as cloud structure.</w:t>
      </w:r>
    </w:p>
    <w:p w:rsidR="00BF7AEB" w:rsidRDefault="00BF7AEB" w:rsidP="00BF7AEB">
      <w:pPr>
        <w:pStyle w:val="Heading3"/>
      </w:pPr>
      <w:r>
        <w:t>Latitudinal coverage</w:t>
      </w:r>
    </w:p>
    <w:p w:rsidR="00BF7AEB" w:rsidRDefault="00BF7AEB" w:rsidP="00BF7AEB">
      <w:r>
        <w:t>As noted above, the latitudinal coverage of effective GEO-based observation extends from approximately 60° north to 60° south. On the other hand, the overlap of LEO image swaths increases towards the poles, so that the frequency of temporal sampling of a wide-swath sensor increases from approximately daily at the equator and mid-latitudes to every orbit for a large fraction of the day in the Polar Regions. Thus GEO and LEO data taken together can provide global coverage with at least the LEO orbital frequency (approximately 100 minutes), particularly if a constellation of LEOs is used to cover all local time sectors.</w:t>
      </w:r>
    </w:p>
    <w:p w:rsidR="00BF7AEB" w:rsidRPr="00624DAF" w:rsidRDefault="00BF7AEB" w:rsidP="00BF7AEB">
      <w:pPr>
        <w:rPr>
          <w:b/>
        </w:rPr>
      </w:pPr>
      <w:r w:rsidRPr="00624DAF">
        <w:rPr>
          <w:b/>
        </w:rPr>
        <w:t>Applications that could benefit from merging GEO and LEO products include:</w:t>
      </w:r>
    </w:p>
    <w:p w:rsidR="00BF7AEB" w:rsidRDefault="00BF7AEB" w:rsidP="00BF7AEB">
      <w:pPr>
        <w:pStyle w:val="ListBullet"/>
        <w:ind w:left="403" w:hanging="403"/>
        <w:contextualSpacing w:val="0"/>
      </w:pPr>
      <w:r>
        <w:t>Sea-ice and weather monitoring for transportation</w:t>
      </w:r>
    </w:p>
    <w:p w:rsidR="00BF7AEB" w:rsidRDefault="00BF7AEB" w:rsidP="00BF7AEB">
      <w:pPr>
        <w:pStyle w:val="ListBullet"/>
        <w:ind w:left="403" w:hanging="403"/>
        <w:contextualSpacing w:val="0"/>
      </w:pPr>
      <w:r>
        <w:t>Cloud and ice monitoring for climate</w:t>
      </w:r>
    </w:p>
    <w:p w:rsidR="00BF7AEB" w:rsidRDefault="00BF7AEB" w:rsidP="00BF7AEB">
      <w:pPr>
        <w:pStyle w:val="ListBullet"/>
        <w:ind w:left="403" w:hanging="403"/>
        <w:contextualSpacing w:val="0"/>
      </w:pPr>
      <w:r>
        <w:t>Ocean colour and SST</w:t>
      </w:r>
    </w:p>
    <w:p w:rsidR="00BF7AEB" w:rsidRDefault="00BF7AEB" w:rsidP="00BF7AEB">
      <w:pPr>
        <w:pStyle w:val="ListBullet"/>
        <w:ind w:left="403" w:hanging="403"/>
        <w:contextualSpacing w:val="0"/>
      </w:pPr>
      <w:r>
        <w:t>Furthermore, at the intermediate latitude bands of 60°–70° where both GEO quality and LEO temporal sampling are marginal, observations can be combined to create products infeasible with either platform alone. An example is the combined LEO/GEO high latitude atmospheric motion vectors developed by the University of Wisconsin-Madison and NOAA (Lazzara et al. 2014) that fill the latitude gap between GEO AMVs and polar winds from LEOs.</w:t>
      </w:r>
    </w:p>
    <w:p w:rsidR="00BF7AEB" w:rsidRDefault="00BF7AEB" w:rsidP="00BF7AEB">
      <w:pPr>
        <w:pStyle w:val="Heading3"/>
      </w:pPr>
      <w:r>
        <w:t>Synergies with other platforms</w:t>
      </w:r>
    </w:p>
    <w:p w:rsidR="00BF7AEB" w:rsidRDefault="00BF7AEB" w:rsidP="00BF7AEB">
      <w:r>
        <w:t>This discussion of the means by which GEO platforms can be used in synergy with LEO platforms concludes by briefly noting the potential to similarly combine GEOs with platforms in other orbit types.</w:t>
      </w:r>
    </w:p>
    <w:p w:rsidR="00BF7AEB" w:rsidRDefault="00BF7AEB" w:rsidP="00BF7AEB">
      <w:r>
        <w:t>The L1 Lagrange point is located 1.5 million km sunward of the Earth and imagers stationed there have a continuous view of the Earth's dayside. The US DSCOVR satellite carrying the EPIC imager is currently situated at L1, capturing 25-km imagery in 10 bands up to hourly. Simultaneous GEO imagery will have different view directions and consequently scattering angles and atmospheric path lengths (but identical Sun directions), thus offering extra information to constrain BRDF models and estimates of aerosol, atmospheric composition and air quality, analogous to the extra angular information available from the GEO+LEO combination.</w:t>
      </w:r>
    </w:p>
    <w:p w:rsidR="00BF7AEB" w:rsidRDefault="00BF7AEB" w:rsidP="00BF7AEB">
      <w:r>
        <w:t>Molniya orbits enable a platform to linger at high latitudes for the majority of the 12-hour orbital period. They thus offer high frequency sampling of Polar Regions that in conjunction with GEOs can complete global coverage, analogous to the GEO+LEO combination.</w:t>
      </w:r>
    </w:p>
    <w:p w:rsidR="00BF7AEB" w:rsidRDefault="00BF7AEB" w:rsidP="00BF7AEB">
      <w:pPr>
        <w:pStyle w:val="Heading2"/>
      </w:pPr>
      <w:bookmarkStart w:id="71" w:name="_Toc460923846"/>
      <w:r>
        <w:t>Examples of GEO+LEO Earth Observation applications</w:t>
      </w:r>
      <w:bookmarkEnd w:id="71"/>
    </w:p>
    <w:p w:rsidR="00BF7AEB" w:rsidRDefault="00BF7AEB" w:rsidP="00941365">
      <w:pPr>
        <w:spacing w:after="240"/>
      </w:pPr>
      <w:r>
        <w:t>During the past some agencies and scientific institutions researched on the capability of synergistic use of GEO and LEO. Those are an impressive demonstrator of the potential for further Earth Observation applications. In this section the some existing studies for such exemplar activities are collected.</w:t>
      </w:r>
    </w:p>
    <w:p w:rsidR="00BF7AEB" w:rsidRPr="00624DAF" w:rsidRDefault="00BF7AEB" w:rsidP="00624DAF">
      <w:pPr>
        <w:tabs>
          <w:tab w:val="left" w:pos="397"/>
        </w:tabs>
        <w:spacing w:line="276" w:lineRule="auto"/>
        <w:rPr>
          <w:b/>
        </w:rPr>
      </w:pPr>
      <w:r w:rsidRPr="00624DAF">
        <w:rPr>
          <w:b/>
        </w:rPr>
        <w:t>GEO and LEO Level 1 data input to a single algorithm</w:t>
      </w:r>
    </w:p>
    <w:p w:rsidR="00BF7AEB" w:rsidRDefault="00BF7AEB" w:rsidP="00624DAF">
      <w:pPr>
        <w:pStyle w:val="ListBullet"/>
        <w:spacing w:after="240"/>
        <w:ind w:left="403" w:hanging="403"/>
        <w:contextualSpacing w:val="0"/>
      </w:pPr>
      <w:r>
        <w:t xml:space="preserve"> CSIRO simultaneous retrieval of aerosol and surface reflectance (uses angular complementarity)</w:t>
      </w:r>
    </w:p>
    <w:p w:rsidR="00BF7AEB" w:rsidRPr="00941365" w:rsidRDefault="00BF7AEB" w:rsidP="00624DAF">
      <w:pPr>
        <w:tabs>
          <w:tab w:val="left" w:pos="397"/>
        </w:tabs>
        <w:spacing w:after="200" w:line="276" w:lineRule="auto"/>
        <w:contextualSpacing/>
        <w:rPr>
          <w:b/>
        </w:rPr>
      </w:pPr>
      <w:r w:rsidRPr="00941365">
        <w:rPr>
          <w:b/>
        </w:rPr>
        <w:t>Merging of GEO and LEO Level 2 data</w:t>
      </w:r>
    </w:p>
    <w:p w:rsidR="00BF7AEB" w:rsidRDefault="00BF7AEB" w:rsidP="00624DAF">
      <w:pPr>
        <w:pStyle w:val="ListBullet"/>
      </w:pPr>
      <w:r>
        <w:t xml:space="preserve"> GEO+LEO surface reflectance: a potential product, not yet realized, that combines LEO spatial resolution with GEO full or daily temporal resolution</w:t>
      </w:r>
    </w:p>
    <w:p w:rsidR="00BF7AEB" w:rsidRDefault="00BF7AEB" w:rsidP="00624DAF">
      <w:pPr>
        <w:pStyle w:val="ListBullet"/>
      </w:pPr>
      <w:r>
        <w:t xml:space="preserve"> The downstream products produced from this surface reflectance such as land cover and vegetation parameters</w:t>
      </w:r>
    </w:p>
    <w:p w:rsidR="00BF7AEB" w:rsidRDefault="00BF7AEB" w:rsidP="00624DAF">
      <w:pPr>
        <w:pStyle w:val="ListBullet"/>
      </w:pPr>
      <w:r>
        <w:t xml:space="preserve"> Fire hotspots</w:t>
      </w:r>
    </w:p>
    <w:p w:rsidR="00BF7AEB" w:rsidRPr="00624DAF" w:rsidRDefault="00BF7AEB" w:rsidP="00624DAF">
      <w:pPr>
        <w:pStyle w:val="ListBullet2"/>
      </w:pPr>
      <w:r w:rsidRPr="00624DAF">
        <w:t>CMA is using FY-2 + LEO for fire hotspots</w:t>
      </w:r>
      <w:r w:rsidR="00941365" w:rsidRPr="00624DAF">
        <w:t>,</w:t>
      </w:r>
    </w:p>
    <w:p w:rsidR="00BF7AEB" w:rsidRPr="00941365" w:rsidRDefault="00BF7AEB" w:rsidP="00624DAF">
      <w:pPr>
        <w:pStyle w:val="ListBullet2"/>
      </w:pPr>
      <w:r w:rsidRPr="00624DAF">
        <w:t>Geoscience Australia is adding Himawari-8 fire hotspots to the AVHRR and MODIS hotspots already on its Sentinel</w:t>
      </w:r>
      <w:r w:rsidRPr="00941365">
        <w:t xml:space="preserve"> service for the public and operational fire management agencies</w:t>
      </w:r>
    </w:p>
    <w:p w:rsidR="00BF7AEB" w:rsidRDefault="00BF7AEB" w:rsidP="00624DAF">
      <w:pPr>
        <w:pStyle w:val="ListBullet"/>
      </w:pPr>
      <w:r>
        <w:t>SST</w:t>
      </w:r>
    </w:p>
    <w:p w:rsidR="00BF7AEB" w:rsidRPr="00624DAF" w:rsidRDefault="00BF7AEB" w:rsidP="00624DAF">
      <w:pPr>
        <w:pStyle w:val="ListBullet2"/>
        <w:rPr>
          <w:color w:val="FF0000"/>
        </w:rPr>
      </w:pPr>
      <w:r w:rsidRPr="00624DAF">
        <w:rPr>
          <w:color w:val="FF0000"/>
        </w:rPr>
        <w:t>GHRSST merging of SST products from multiple platforms?</w:t>
      </w:r>
    </w:p>
    <w:p w:rsidR="00BF7AEB" w:rsidRDefault="00BF7AEB" w:rsidP="00624DAF">
      <w:pPr>
        <w:pStyle w:val="ListBullet"/>
      </w:pPr>
      <w:r>
        <w:t>Atmospheric chemistry</w:t>
      </w:r>
    </w:p>
    <w:p w:rsidR="00BF7AEB" w:rsidRPr="00941365" w:rsidRDefault="00BF7AEB" w:rsidP="004A1983">
      <w:pPr>
        <w:pStyle w:val="ListBullet2"/>
        <w:spacing w:after="480"/>
        <w:ind w:left="792" w:hanging="202"/>
        <w:contextualSpacing w:val="0"/>
      </w:pPr>
      <w:r w:rsidRPr="00941365">
        <w:t>Combined GEO-LEO measurements from missions dedicated t</w:t>
      </w:r>
      <w:r w:rsidR="00941365" w:rsidRPr="00941365">
        <w:t>o atmospheric chemistry, namely</w:t>
      </w:r>
      <w:r w:rsidRPr="00941365">
        <w:t xml:space="preserve"> a daily LEO Senitnel-5/-5P (ESA) with hourly GEOs TEMPO (NASA), Sentinel-4 (ESA), GEMS (KARI) and GMAP-ASIA (JAXA).</w:t>
      </w:r>
    </w:p>
    <w:p w:rsidR="00BF7AEB" w:rsidRPr="00941365" w:rsidRDefault="00BF7AEB" w:rsidP="00624DAF">
      <w:pPr>
        <w:tabs>
          <w:tab w:val="left" w:pos="397"/>
        </w:tabs>
        <w:spacing w:after="200" w:line="276" w:lineRule="auto"/>
        <w:contextualSpacing/>
        <w:rPr>
          <w:b/>
        </w:rPr>
      </w:pPr>
      <w:r w:rsidRPr="00941365">
        <w:rPr>
          <w:b/>
        </w:rPr>
        <w:t>GEO product input to LEO production or vice versa</w:t>
      </w:r>
    </w:p>
    <w:p w:rsidR="00BF7AEB" w:rsidRDefault="00BF7AEB" w:rsidP="00624DAF">
      <w:pPr>
        <w:pStyle w:val="ListBullet"/>
      </w:pPr>
      <w:r>
        <w:t>ABoM's initial Himawari-8 SST uses a regression algorithm tuned to VIIRS SST observations, owing to the short record and sparseness of the buoy network.</w:t>
      </w:r>
    </w:p>
    <w:p w:rsidR="00BF7AEB" w:rsidRDefault="00BF7AEB" w:rsidP="00624DAF">
      <w:pPr>
        <w:pStyle w:val="ListBullet"/>
      </w:pPr>
      <w:r>
        <w:t>The Universities of Maryland and Wisconsin have developed Landsat-scale evapotranspiration (ET; 30-m) products for which GOES-based ET (4-km) serves as the boundary condition, thereby supporting field-scale assessments of consumptive water use.</w:t>
      </w:r>
    </w:p>
    <w:p w:rsidR="00BF7AEB" w:rsidRPr="00941365" w:rsidRDefault="00BF7AEB" w:rsidP="00624DAF">
      <w:pPr>
        <w:tabs>
          <w:tab w:val="left" w:pos="397"/>
        </w:tabs>
        <w:spacing w:after="200" w:line="276" w:lineRule="auto"/>
        <w:contextualSpacing/>
        <w:rPr>
          <w:b/>
        </w:rPr>
      </w:pPr>
      <w:r w:rsidRPr="00941365">
        <w:rPr>
          <w:b/>
        </w:rPr>
        <w:t>Validation of GEO products by LEO products</w:t>
      </w:r>
    </w:p>
    <w:p w:rsidR="00BF7AEB" w:rsidRDefault="00BF7AEB" w:rsidP="00624DAF">
      <w:pPr>
        <w:pStyle w:val="ListBullet"/>
      </w:pPr>
      <w:r>
        <w:t>Even without merging the low level data or products, GEOs and LEOs can be used in combination for tuning and cross-validation. For instance, CMA is validating its Himawari-8 AOD product against MODIS AOD.</w:t>
      </w:r>
    </w:p>
    <w:p w:rsidR="00624DAF" w:rsidRDefault="00624DAF" w:rsidP="00624DAF">
      <w:r>
        <w:t>There is an emerging trend to use all relevant satellite sensors (including spectral, spatial, and temporal information) and relevant non-satellite data sources to provide a “best” analysis of geophysical parameters. NOAA is aiming to apply such “enterprise algorithms” to, for instance, mapping the horizontal extent of volcanic ash clouds.</w:t>
      </w:r>
    </w:p>
    <w:p w:rsidR="00624DAF" w:rsidRPr="004A32FE" w:rsidRDefault="00624DAF" w:rsidP="00624DAF">
      <w:r>
        <w:t>The shared use of LEOs used in synergistic applications by the different GEOs both motivates and provides a mechanism for harmonisation of the GEO+LEO products between GEOs, including through intercalibration of GEOs with LEOs, intercalibration of GEOs with each other via LEOs, correction for spectral differences between GEOs and between GEOs and LEOs, and adoption of common algorithms. Adoption of common data standards is also desirable. GSICS has results and expertise to apply to the intercalibration and spectral correction issues. The SCOPE-CM activity for globally consistent production of GEO-ring surface albedo distributed across three centres provides a model for global coordination of algorithms and formats.</w:t>
      </w:r>
    </w:p>
    <w:p w:rsidR="00D94526" w:rsidRDefault="00D94526" w:rsidP="00D94526">
      <w:pPr>
        <w:pStyle w:val="Heading2"/>
      </w:pPr>
      <w:bookmarkStart w:id="72" w:name="_Toc460923847"/>
      <w:r>
        <w:t>Case Study</w:t>
      </w:r>
      <w:bookmarkEnd w:id="72"/>
    </w:p>
    <w:p w:rsidR="00D94526" w:rsidRDefault="00D94526" w:rsidP="00D94526">
      <w:r>
        <w:t>A recent example of a synergistic algorithm that illustrates the new possibilities but also highlights the harmonisation issues is the recent development of a GEO+LEO joint retrieval of aerosol optical depth and surface reflectance by Yi Qin (CSIRO) and colleagues in Australia. The technique was originally developed for the dual-view AATSR and has subsequently been applied to Himawari-8/AHI in combination with either MODIS or VIIRS, and is now being adapted to AHI with SGLI on GCOM-C.</w:t>
      </w:r>
    </w:p>
    <w:p w:rsidR="00D94526" w:rsidRDefault="00D94526" w:rsidP="00D94526">
      <w:r>
        <w:t>The retrieval of aerosol parameters over the land surface is challenging, particularly over bright surface such as deserts. The inhomogeneity and variable anisotropy of the surface reflectance contributes to the challenge: it is difficult to distinguish the effects of aerosol and BRDF on reflectance variations at the top of the atmosphere. The CSIRO method relies on the different view directions of the near simultaneous observations that occur once per day to decouple the BRDF and aerosol effects on the TOA signal. Radiative transfer modelling links surface BRDF and top of atmosphere (TOA) reflectance. The method requires an aerosol classification providing representative aerosol types, and models the surface BRDF on the assumption that the BRDF shape is stable over long period of time.</w:t>
      </w:r>
    </w:p>
    <w:p w:rsidR="00D94526" w:rsidRPr="00D94526" w:rsidRDefault="00D94526" w:rsidP="00D94526">
      <w:pPr>
        <w:rPr>
          <w:color w:val="FF0000"/>
        </w:rPr>
      </w:pPr>
      <w:r w:rsidRPr="00D94526">
        <w:rPr>
          <w:color w:val="FF0000"/>
        </w:rPr>
        <w:t>[</w:t>
      </w:r>
      <w:r w:rsidR="00A979D9">
        <w:rPr>
          <w:color w:val="FF0000"/>
        </w:rPr>
        <w:t xml:space="preserve">TBD - </w:t>
      </w:r>
      <w:r w:rsidRPr="00D94526">
        <w:rPr>
          <w:color w:val="FF0000"/>
        </w:rPr>
        <w:t>Show a Figure demonstrating the results, or quantify the improvement in accuracy over a single sensor, using plots from IG's WGCV-40 presentation? For instance: Top: A map of Aerosol Optical Depth (AOD) at XX nm over Australia on date XX retrieved from AHI and XX/MODIS observations. Bottom: A validation time series of AOD at the Jabiru AERONET site in northern Australia.]</w:t>
      </w:r>
    </w:p>
    <w:p w:rsidR="00D94526" w:rsidRPr="00BA1C14" w:rsidRDefault="00D94526" w:rsidP="00D94526">
      <w:r>
        <w:t>A prerequisite for the CSIRO method is harmonisation of the GEO and LEO, accounting for residual calibration differences and differences in spectral response functions. For AHI+MODIS both effects were modelled together by linear models that were regressed against 2700 hyperspectral images from EO-1/Hyperion that were processed to equivalent multiband responses for the two sensors. Regression slopes differed from unity by as much as 5% but were well constrained with squared correlation coefficients r</w:t>
      </w:r>
      <w:r>
        <w:rPr>
          <w:vertAlign w:val="superscript"/>
        </w:rPr>
        <w:t>2</w:t>
      </w:r>
      <w:r>
        <w:t xml:space="preserve"> over a wide range of scene brightnesses in the range 0.990–0.997.</w:t>
      </w:r>
    </w:p>
    <w:p w:rsidR="00D94526" w:rsidRDefault="00D94526" w:rsidP="00D94526">
      <w:pPr>
        <w:pStyle w:val="Heading2"/>
      </w:pPr>
      <w:bookmarkStart w:id="73" w:name="_Toc460923848"/>
      <w:r>
        <w:t>Conclusion</w:t>
      </w:r>
      <w:bookmarkEnd w:id="73"/>
    </w:p>
    <w:p w:rsidR="00D94526" w:rsidRDefault="00D94526" w:rsidP="00D94526">
      <w:r>
        <w:t>The image data from the new generation of geostationary imagers has spatial resolution and spectral coverage approaching those of the polar orbiting LEO imagers that have until now formed the backbone of satellite-based monitoring of dynamic environmental variables, but with much greater temporal frequency and with different geometry. This creates an opportunity to combine the complementary measurement characteristics of the two platforms to strengthen or extend the LEO-based measurements or apply new algorithms that are not feasible for either platform alone.</w:t>
      </w:r>
    </w:p>
    <w:p w:rsidR="00D94526" w:rsidRDefault="00D94526" w:rsidP="00D94526">
      <w:r>
        <w:t>Specific strategies for the fusion of GEO and LEO data include</w:t>
      </w:r>
      <w:r w:rsidR="002C33B2">
        <w:t>:</w:t>
      </w:r>
    </w:p>
    <w:p w:rsidR="00D94526" w:rsidRDefault="00D94526" w:rsidP="00D94526">
      <w:pPr>
        <w:pStyle w:val="ListBullet2"/>
      </w:pPr>
      <w:r>
        <w:t>LEO fine spatial resolution and GEO fine temporal resolution;</w:t>
      </w:r>
    </w:p>
    <w:p w:rsidR="00D94526" w:rsidRDefault="00D94526" w:rsidP="00D94526">
      <w:pPr>
        <w:pStyle w:val="ListBullet2"/>
      </w:pPr>
      <w:r>
        <w:t>Simultaneous observations with different viewing or illumination conditions;</w:t>
      </w:r>
    </w:p>
    <w:p w:rsidR="00D94526" w:rsidRDefault="00D94526" w:rsidP="00D94526">
      <w:pPr>
        <w:pStyle w:val="ListBullet2"/>
      </w:pPr>
      <w:r>
        <w:t>Low- to mid-latitude GEO and High-latitude LEO.</w:t>
      </w:r>
    </w:p>
    <w:p w:rsidR="00D94526" w:rsidRDefault="00D94526" w:rsidP="00D94526">
      <w:r>
        <w:t>Supporting strategies that can be enabled by inter-agency coordination include:</w:t>
      </w:r>
    </w:p>
    <w:p w:rsidR="00D94526" w:rsidRDefault="00D94526" w:rsidP="00D94526">
      <w:pPr>
        <w:pStyle w:val="ListBullet2"/>
      </w:pPr>
      <w:r>
        <w:t>Building on LEO algorithm experience and teams;</w:t>
      </w:r>
    </w:p>
    <w:p w:rsidR="00D94526" w:rsidRDefault="00D94526" w:rsidP="00D94526">
      <w:pPr>
        <w:pStyle w:val="ListBullet2"/>
      </w:pPr>
      <w:r>
        <w:t>Using the processing infrastructure of CEOS and CGMS agencies;</w:t>
      </w:r>
    </w:p>
    <w:p w:rsidR="00D94526" w:rsidRDefault="00D94526" w:rsidP="00D94526">
      <w:pPr>
        <w:pStyle w:val="ListBullet2"/>
      </w:pPr>
      <w:r>
        <w:t>Taking advantage of modern data approaches;</w:t>
      </w:r>
    </w:p>
    <w:p w:rsidR="00D94526" w:rsidRDefault="00D94526" w:rsidP="00D94526">
      <w:pPr>
        <w:pStyle w:val="ListBullet2"/>
      </w:pPr>
      <w:r>
        <w:t>Harmonisation of GEOs and LEOs, particularly in regard to calibration standards and relative calibration methods between GEO and LEO;</w:t>
      </w:r>
    </w:p>
    <w:p w:rsidR="00D94526" w:rsidRDefault="00D94526" w:rsidP="00D94526">
      <w:pPr>
        <w:pStyle w:val="ListBullet2"/>
      </w:pPr>
      <w:r>
        <w:t>Common data product validation approaches and standards.</w:t>
      </w:r>
    </w:p>
    <w:p w:rsidR="00D94526" w:rsidRDefault="00D94526" w:rsidP="00D94526">
      <w:pPr>
        <w:tabs>
          <w:tab w:val="left" w:pos="794"/>
        </w:tabs>
      </w:pPr>
      <w:r>
        <w:t>CEOS has the potential to significantly contribute through its Working Groups and Virtual Constellations in carrying out the preparation for such synergistic use on different levels. An asset can be also the cooperation between WMO/GSICS and CEOS WGCV in combining their knowledge for calibration and validation.</w:t>
      </w:r>
    </w:p>
    <w:p w:rsidR="00BF7AEB" w:rsidRPr="00BF7AEB" w:rsidRDefault="00BF7AEB" w:rsidP="00BF7AEB"/>
    <w:p w:rsidR="00CA63B1" w:rsidRDefault="00BB5B3A" w:rsidP="00C34D40">
      <w:pPr>
        <w:pStyle w:val="Heading1"/>
      </w:pPr>
      <w:bookmarkStart w:id="74" w:name="_Toc460923849"/>
      <w:r>
        <w:t xml:space="preserve">Coordinating </w:t>
      </w:r>
      <w:r w:rsidR="00CA63B1">
        <w:t>initiatives</w:t>
      </w:r>
      <w:bookmarkEnd w:id="74"/>
    </w:p>
    <w:p w:rsidR="007B1426" w:rsidRDefault="00350925" w:rsidP="0057747E">
      <w:r>
        <w:t xml:space="preserve">This chapter </w:t>
      </w:r>
      <w:r w:rsidR="0057747E">
        <w:t>provide</w:t>
      </w:r>
      <w:r w:rsidR="00960884">
        <w:t>s</w:t>
      </w:r>
      <w:r w:rsidR="0057747E">
        <w:t xml:space="preserve"> </w:t>
      </w:r>
      <w:r w:rsidR="00663276">
        <w:t>a</w:t>
      </w:r>
      <w:r w:rsidR="00EF27DB">
        <w:t xml:space="preserve"> </w:t>
      </w:r>
      <w:r w:rsidR="0065416D">
        <w:t xml:space="preserve">short </w:t>
      </w:r>
      <w:r w:rsidR="00BB5B3A">
        <w:t xml:space="preserve">non-exhaustive </w:t>
      </w:r>
      <w:r w:rsidR="00C677B9">
        <w:t xml:space="preserve">overview of </w:t>
      </w:r>
      <w:r w:rsidR="00595152">
        <w:t xml:space="preserve">CGMS and </w:t>
      </w:r>
      <w:r w:rsidR="00D61536">
        <w:t xml:space="preserve">other </w:t>
      </w:r>
      <w:r w:rsidR="00C677B9">
        <w:t>agency</w:t>
      </w:r>
      <w:r w:rsidR="00D61536">
        <w:t xml:space="preserve"> </w:t>
      </w:r>
      <w:r w:rsidR="0057747E">
        <w:t xml:space="preserve">initiatives </w:t>
      </w:r>
      <w:r w:rsidR="009B4CD0">
        <w:t xml:space="preserve">that are </w:t>
      </w:r>
      <w:r w:rsidR="00D61536">
        <w:t>relevant to the further coordination and progre</w:t>
      </w:r>
      <w:r w:rsidR="00775DAE">
        <w:t xml:space="preserve">ssion of non-meteorological </w:t>
      </w:r>
      <w:r w:rsidR="00D61536">
        <w:t>applications</w:t>
      </w:r>
      <w:r w:rsidR="00775DAE">
        <w:t xml:space="preserve"> </w:t>
      </w:r>
      <w:r w:rsidR="007B1426">
        <w:t>from GEO orbit and the</w:t>
      </w:r>
      <w:r w:rsidR="0002229A">
        <w:t>ir</w:t>
      </w:r>
      <w:r w:rsidR="007B1426">
        <w:t xml:space="preserve"> full exploitation </w:t>
      </w:r>
      <w:r w:rsidR="0002229A">
        <w:t xml:space="preserve">in combination with </w:t>
      </w:r>
      <w:r w:rsidR="007B1426">
        <w:t xml:space="preserve">LEO </w:t>
      </w:r>
      <w:r w:rsidR="0002229A">
        <w:t xml:space="preserve">observations (GEO-LEO </w:t>
      </w:r>
      <w:r w:rsidR="007B1426">
        <w:t>synergies</w:t>
      </w:r>
      <w:r w:rsidR="0002229A">
        <w:t>) as described in the previous chapter</w:t>
      </w:r>
      <w:r w:rsidR="007B1426">
        <w:t xml:space="preserve">. </w:t>
      </w:r>
      <w:r w:rsidR="004F4CA5">
        <w:t xml:space="preserve">In view of multi-sensor non-met products from a constellation of GEO imagers (Figure 1) on-going inter-calibration efforts of satellite operators under GSICS should be expanded to </w:t>
      </w:r>
      <w:r w:rsidR="00980311">
        <w:t xml:space="preserve">cover these </w:t>
      </w:r>
      <w:r w:rsidR="004F4CA5">
        <w:t xml:space="preserve">new products. </w:t>
      </w:r>
      <w:r w:rsidR="00775DAE">
        <w:t>In addition</w:t>
      </w:r>
      <w:r w:rsidR="0002229A">
        <w:t>,</w:t>
      </w:r>
      <w:r w:rsidR="00775DAE">
        <w:t xml:space="preserve"> </w:t>
      </w:r>
      <w:r w:rsidR="0002229A">
        <w:t xml:space="preserve">satellite </w:t>
      </w:r>
      <w:r w:rsidR="004F4CA5">
        <w:t>operators need to engage more broadly</w:t>
      </w:r>
      <w:r w:rsidR="0002229A">
        <w:t xml:space="preserve"> </w:t>
      </w:r>
      <w:r w:rsidR="004F4CA5">
        <w:t>with</w:t>
      </w:r>
      <w:r w:rsidR="0002229A">
        <w:t xml:space="preserve"> user community </w:t>
      </w:r>
      <w:r w:rsidR="00775DAE">
        <w:t>to progress non-met algorithm developments and to drive data uptake</w:t>
      </w:r>
      <w:r w:rsidR="007B1426">
        <w:t xml:space="preserve"> from new stakeholders</w:t>
      </w:r>
      <w:r w:rsidR="00775DAE">
        <w:t>.</w:t>
      </w:r>
      <w:r w:rsidR="00D61536">
        <w:t xml:space="preserve"> </w:t>
      </w:r>
    </w:p>
    <w:p w:rsidR="00A175AE" w:rsidRDefault="0091741B" w:rsidP="00BB5B3A">
      <w:pPr>
        <w:pStyle w:val="Heading2"/>
      </w:pPr>
      <w:bookmarkStart w:id="75" w:name="_Toc460923850"/>
      <w:r>
        <w:t>User engagement – SATURN, EUMETRAIN, WMO-CGMS VL</w:t>
      </w:r>
      <w:r w:rsidR="00264B8F">
        <w:t>ab</w:t>
      </w:r>
      <w:bookmarkEnd w:id="75"/>
    </w:p>
    <w:p w:rsidR="000C2563" w:rsidRDefault="0025237B" w:rsidP="00BB5B3A">
      <w:r>
        <w:t xml:space="preserve">To provide </w:t>
      </w:r>
      <w:r w:rsidR="009B4CD0">
        <w:t xml:space="preserve">the user community with </w:t>
      </w:r>
      <w:r>
        <w:t xml:space="preserve">a single point of access </w:t>
      </w:r>
      <w:r w:rsidR="009B4CD0">
        <w:t>to information about the new generation of meteorological satellites planned to enter operation in the 2015-2020 timeframe the WMO-CGMS Satellite User Readiness Navigator</w:t>
      </w:r>
      <w:r w:rsidR="00C66DCD">
        <w:t xml:space="preserve"> (SATURN) portal has been established by WMO</w:t>
      </w:r>
      <w:r w:rsidR="009B4CD0">
        <w:t xml:space="preserve"> (TBD add URL to References).</w:t>
      </w:r>
      <w:r w:rsidR="0091741B">
        <w:t xml:space="preserve"> </w:t>
      </w:r>
      <w:r w:rsidR="00A175AE">
        <w:t>In detail, t</w:t>
      </w:r>
      <w:r w:rsidR="00595152">
        <w:t>he portal provides information</w:t>
      </w:r>
      <w:r w:rsidR="00A175AE">
        <w:t xml:space="preserve"> about technical specification of recently launche</w:t>
      </w:r>
      <w:r w:rsidR="00144AB9">
        <w:t>d and to be launched GEO satellites</w:t>
      </w:r>
      <w:r w:rsidR="00A175AE">
        <w:t xml:space="preserve">, overview of ground segments and operations, </w:t>
      </w:r>
      <w:r w:rsidR="00595152">
        <w:t>data access and use</w:t>
      </w:r>
      <w:r w:rsidR="00A175AE">
        <w:t>, as well as</w:t>
      </w:r>
      <w:r w:rsidR="00144AB9">
        <w:t xml:space="preserve"> information on</w:t>
      </w:r>
      <w:r w:rsidR="00A175AE">
        <w:t xml:space="preserve"> user readiness planning</w:t>
      </w:r>
      <w:r w:rsidR="00144AB9">
        <w:t xml:space="preserve"> to guide the introduction of new satellite data into the operations of meteorological services and other users.</w:t>
      </w:r>
      <w:r w:rsidR="000C2563">
        <w:t xml:space="preserve"> </w:t>
      </w:r>
      <w:r w:rsidR="0091741B">
        <w:t>Through user readiness planning a</w:t>
      </w:r>
      <w:r w:rsidR="000C2563">
        <w:t xml:space="preserve">ll WMO members and satellite operators should assist users in preparing them for using the new generation of operational satellites through detailed list of actions outlined in the “CBS Guideline for Ensuring User Readiness for New Generation Satellites”. </w:t>
      </w:r>
      <w:r w:rsidR="0091741B">
        <w:t>However “u</w:t>
      </w:r>
      <w:r w:rsidR="00E16146">
        <w:t>sers</w:t>
      </w:r>
      <w:r w:rsidR="0091741B">
        <w:t>”</w:t>
      </w:r>
      <w:r w:rsidR="00E16146">
        <w:t xml:space="preserve"> in this context are</w:t>
      </w:r>
      <w:r w:rsidR="000C2563">
        <w:t xml:space="preserve"> mainly </w:t>
      </w:r>
      <w:r w:rsidR="0091741B">
        <w:t xml:space="preserve">the </w:t>
      </w:r>
      <w:r w:rsidR="00E16146">
        <w:t xml:space="preserve">National Meteorological and Hydro-meteorological Services (NMHS) and </w:t>
      </w:r>
      <w:r w:rsidR="0091741B">
        <w:t>operational user organisations.</w:t>
      </w:r>
    </w:p>
    <w:p w:rsidR="00086C2C" w:rsidRDefault="00C66DCD" w:rsidP="00BB5B3A">
      <w:r>
        <w:t xml:space="preserve">Another </w:t>
      </w:r>
      <w:r w:rsidR="00086C2C">
        <w:t xml:space="preserve">online </w:t>
      </w:r>
      <w:r>
        <w:t>resource</w:t>
      </w:r>
      <w:r w:rsidR="00600E99">
        <w:t xml:space="preserve"> for training </w:t>
      </w:r>
      <w:r w:rsidR="009302D6">
        <w:t>to</w:t>
      </w:r>
      <w:r w:rsidR="00086C2C">
        <w:t xml:space="preserve"> support and increase the use of </w:t>
      </w:r>
      <w:r w:rsidR="009302D6">
        <w:t>m</w:t>
      </w:r>
      <w:r>
        <w:t>eteorological satellite data is</w:t>
      </w:r>
      <w:r w:rsidR="00600E99">
        <w:t xml:space="preserve"> the EUMETSAT sponsored </w:t>
      </w:r>
      <w:r w:rsidR="00086C2C">
        <w:t>EUMETRAIN</w:t>
      </w:r>
      <w:r w:rsidR="009302D6">
        <w:t xml:space="preserve"> </w:t>
      </w:r>
      <w:r>
        <w:t xml:space="preserve">portal </w:t>
      </w:r>
      <w:r w:rsidR="009302D6">
        <w:t xml:space="preserve">(TBD add URL to References) </w:t>
      </w:r>
      <w:r>
        <w:t xml:space="preserve">that provides users </w:t>
      </w:r>
      <w:r w:rsidR="0091741B">
        <w:t xml:space="preserve">specifically of </w:t>
      </w:r>
      <w:r w:rsidR="00681B83">
        <w:t xml:space="preserve">EUMETSAT satellite data and products </w:t>
      </w:r>
      <w:r w:rsidR="0091741B">
        <w:t>(</w:t>
      </w:r>
      <w:r w:rsidR="00681B83">
        <w:t>e.g. NMHS</w:t>
      </w:r>
      <w:r w:rsidR="0091741B">
        <w:t>)</w:t>
      </w:r>
      <w:r w:rsidR="00681B83">
        <w:t xml:space="preserve"> with training resources that will enable them to make more effective use of this satellite data.</w:t>
      </w:r>
      <w:r>
        <w:t xml:space="preserve"> </w:t>
      </w:r>
      <w:r w:rsidR="0091741B">
        <w:t xml:space="preserve">If </w:t>
      </w:r>
      <w:r>
        <w:t xml:space="preserve">satellite operators </w:t>
      </w:r>
      <w:r w:rsidR="00AA4BB1">
        <w:t xml:space="preserve">were to </w:t>
      </w:r>
      <w:r>
        <w:t xml:space="preserve">expand their GEO </w:t>
      </w:r>
      <w:r w:rsidR="0091741B">
        <w:t>opera</w:t>
      </w:r>
      <w:r>
        <w:t>tional product list</w:t>
      </w:r>
      <w:r w:rsidR="00AA4BB1">
        <w:t xml:space="preserve"> to include </w:t>
      </w:r>
      <w:r w:rsidR="0091741B">
        <w:t xml:space="preserve">non-met applications </w:t>
      </w:r>
      <w:r>
        <w:t>additional training requirements need to be accommodated.</w:t>
      </w:r>
    </w:p>
    <w:p w:rsidR="00775DAE" w:rsidRDefault="00AA4BB1" w:rsidP="00BB5B3A">
      <w:r>
        <w:t>Also t</w:t>
      </w:r>
      <w:r w:rsidR="00264B8F">
        <w:t xml:space="preserve">he </w:t>
      </w:r>
      <w:r w:rsidR="00681B83">
        <w:t>WMO-CGMS Virtual Laboratory</w:t>
      </w:r>
      <w:r w:rsidR="00264B8F">
        <w:t xml:space="preserve"> for Training and Education </w:t>
      </w:r>
      <w:r>
        <w:t xml:space="preserve">in Satellite Meteorology (VLab) through its global network of training centres </w:t>
      </w:r>
      <w:r w:rsidR="00646C9B">
        <w:t xml:space="preserve">and satellite operators </w:t>
      </w:r>
      <w:r>
        <w:t xml:space="preserve">aims to improve data </w:t>
      </w:r>
      <w:r w:rsidR="00646C9B">
        <w:t xml:space="preserve">utilization not only from meteorological (GEO) satellites but also from environmental (LEO) satellites. </w:t>
      </w:r>
    </w:p>
    <w:p w:rsidR="00775DAE" w:rsidRDefault="00980311" w:rsidP="00BB5B3A">
      <w:r>
        <w:t>However, t</w:t>
      </w:r>
      <w:r w:rsidR="00775DAE">
        <w:t>he fleet of EO satellites</w:t>
      </w:r>
      <w:r>
        <w:t xml:space="preserve"> </w:t>
      </w:r>
      <w:r w:rsidR="00775DAE">
        <w:t>is continuously expanding and becoming more divers</w:t>
      </w:r>
      <w:r>
        <w:t xml:space="preserve">ified. Therefore it is critical to ensure inter-comparability of observations from </w:t>
      </w:r>
      <w:r w:rsidR="00D33ACA">
        <w:t>instruments on different satellite platforms</w:t>
      </w:r>
      <w:r>
        <w:t>.</w:t>
      </w:r>
    </w:p>
    <w:p w:rsidR="00CA63B1" w:rsidRDefault="00960884" w:rsidP="00CA63B1">
      <w:pPr>
        <w:pStyle w:val="Heading2"/>
      </w:pPr>
      <w:bookmarkStart w:id="76" w:name="_Toc460923851"/>
      <w:r>
        <w:t>The Global Space-based Inter-Calibration System (GSICS)</w:t>
      </w:r>
      <w:bookmarkEnd w:id="76"/>
    </w:p>
    <w:p w:rsidR="007812A2" w:rsidRPr="00084E29" w:rsidRDefault="007C6850" w:rsidP="00960884">
      <w:r>
        <w:t>Since 2005 s</w:t>
      </w:r>
      <w:r w:rsidR="00980311">
        <w:t>atellite operators and science teams collaborate under GSICS to monitor, improve and harmonize the calibration of</w:t>
      </w:r>
      <w:r>
        <w:t xml:space="preserve"> a range</w:t>
      </w:r>
      <w:r w:rsidR="00980311">
        <w:t xml:space="preserve"> </w:t>
      </w:r>
      <w:r>
        <w:t xml:space="preserve">of </w:t>
      </w:r>
      <w:r w:rsidR="00980311">
        <w:t>instruments onboard operational GEO and LEO satellites</w:t>
      </w:r>
      <w:r>
        <w:t xml:space="preserve"> of the Global Observing System (GOS). </w:t>
      </w:r>
      <w:r w:rsidR="004C75F0">
        <w:t xml:space="preserve">Consistent </w:t>
      </w:r>
      <w:r>
        <w:t xml:space="preserve">inter-calibration </w:t>
      </w:r>
      <w:r w:rsidR="004C75F0">
        <w:t xml:space="preserve">of instruments onboard different satellites </w:t>
      </w:r>
      <w:r w:rsidR="0087372F">
        <w:t xml:space="preserve">is of </w:t>
      </w:r>
      <w:r>
        <w:t xml:space="preserve">importance to ensure reliability of EO </w:t>
      </w:r>
      <w:r w:rsidR="0087372F">
        <w:t xml:space="preserve">data in particular </w:t>
      </w:r>
      <w:r w:rsidR="004C75F0">
        <w:t xml:space="preserve">for monitoring of climate variability and change. Specifically </w:t>
      </w:r>
      <w:r w:rsidR="00B54281">
        <w:t>global</w:t>
      </w:r>
      <w:r w:rsidR="0087372F">
        <w:t>ly merged</w:t>
      </w:r>
      <w:r w:rsidR="00B54281">
        <w:t xml:space="preserve"> “multi-satellite” products</w:t>
      </w:r>
      <w:r w:rsidR="0087372F">
        <w:t>,</w:t>
      </w:r>
      <w:r w:rsidR="00B54281">
        <w:t xml:space="preserve"> </w:t>
      </w:r>
      <w:r w:rsidR="007812A2">
        <w:t xml:space="preserve">e.g. from a </w:t>
      </w:r>
      <w:r w:rsidR="0065416D">
        <w:t>constellation of GEO imagers</w:t>
      </w:r>
      <w:r w:rsidR="0087372F">
        <w:t>,</w:t>
      </w:r>
      <w:r w:rsidR="0065416D">
        <w:t xml:space="preserve"> </w:t>
      </w:r>
      <w:r w:rsidR="004C75F0">
        <w:t>require</w:t>
      </w:r>
      <w:r w:rsidR="00442E12">
        <w:t xml:space="preserve"> </w:t>
      </w:r>
      <w:r w:rsidR="007812A2">
        <w:t>consisten</w:t>
      </w:r>
      <w:r w:rsidR="004C75F0">
        <w:t xml:space="preserve">t inter-calibration </w:t>
      </w:r>
      <w:r w:rsidR="007812A2">
        <w:t xml:space="preserve">to ensure </w:t>
      </w:r>
      <w:r w:rsidR="00B54281">
        <w:t xml:space="preserve">seamless </w:t>
      </w:r>
      <w:r w:rsidR="0087372F">
        <w:t xml:space="preserve">product </w:t>
      </w:r>
      <w:r w:rsidR="007812A2">
        <w:t xml:space="preserve">quality and comparability of </w:t>
      </w:r>
      <w:r w:rsidR="00B54281">
        <w:t xml:space="preserve">observations across different satellite platforms. </w:t>
      </w:r>
      <w:r w:rsidR="0065416D">
        <w:t xml:space="preserve">Dedicated </w:t>
      </w:r>
      <w:r w:rsidR="002312D1">
        <w:t xml:space="preserve">GSICS </w:t>
      </w:r>
      <w:r w:rsidR="0065416D">
        <w:t xml:space="preserve">Processing and Research Centres </w:t>
      </w:r>
      <w:r w:rsidR="002312D1">
        <w:t xml:space="preserve">(GPRC) </w:t>
      </w:r>
      <w:r w:rsidR="0065416D">
        <w:t>operated by NOAA, CMA, EUMETSAT, JMA and KMA deal with monitoring of instrument performances and operation</w:t>
      </w:r>
      <w:r w:rsidR="002312D1">
        <w:t>al</w:t>
      </w:r>
      <w:r w:rsidR="0065416D">
        <w:t xml:space="preserve"> inter-calib</w:t>
      </w:r>
      <w:r w:rsidR="002312D1">
        <w:t>ration</w:t>
      </w:r>
      <w:r w:rsidR="00084E29">
        <w:t xml:space="preserve"> of satellite instruments. </w:t>
      </w:r>
      <w:r w:rsidR="00387C03">
        <w:t>To q</w:t>
      </w:r>
      <w:r w:rsidR="00084E29">
        <w:t>uantify sensor performance GPRCs deploy</w:t>
      </w:r>
      <w:r w:rsidR="00387C03">
        <w:t xml:space="preserve"> satellite inter-calibration algorithms for GEO-LEO</w:t>
      </w:r>
      <w:r w:rsidR="00084E29">
        <w:t xml:space="preserve"> observations.</w:t>
      </w:r>
      <w:r w:rsidR="003133C1">
        <w:t xml:space="preserve"> Whilst GSICS aims to cover all spectra regions, the following sections will only highlight the activities performed for infrared and visible channel calibration activities as they are the relevant ones for the meteorological geostationary imagers.</w:t>
      </w:r>
    </w:p>
    <w:p w:rsidR="005A362B" w:rsidRDefault="003133C1" w:rsidP="00531278">
      <w:pPr>
        <w:pStyle w:val="Heading3"/>
      </w:pPr>
      <w:r>
        <w:t xml:space="preserve">infrared </w:t>
      </w:r>
    </w:p>
    <w:p w:rsidR="003133C1" w:rsidRDefault="003133C1" w:rsidP="00960884">
      <w:r>
        <w:t>One of the first objectives of GSICS was to support the development of consistently calibrated geostationary infrared imagery data. A prerequisite for successful exploitation of infrared radiances an accurate instrument pre-launch characterisation and onboard calibration is required. However, it is also mandatory to have an independent mechanism to verify and monitor the performance of the onboard calibration system. The advent of highly accurate hyperspectral instruments with a calibration accuracy of 0.1-0.15K, like AIRS onboard Terra and Aqua, CrIS onboard Suomi-NPP and IASI onboard the Metop-satellites has enabled the intercalibration of the geostationary satellites against these reference instruments. Monitoring of the calibration of the geostationary imagers is now provided routinely by most satellite operators and provide also the means for improved satellite in-orbit check-out as well as the derivation of accurate and consistent products across different platforms.</w:t>
      </w:r>
    </w:p>
    <w:p w:rsidR="00B10A1A" w:rsidRDefault="00B10A1A" w:rsidP="00960884">
      <w:r>
        <w:t>The Meteorological Satellite Centre (MSC) of JMA suppor</w:t>
      </w:r>
      <w:r w:rsidR="00084E29">
        <w:t>ts GSCIS by operating a GPRC</w:t>
      </w:r>
      <w:r>
        <w:t xml:space="preserve"> </w:t>
      </w:r>
      <w:r w:rsidR="007812A2">
        <w:t xml:space="preserve">that among other satellites </w:t>
      </w:r>
      <w:r>
        <w:t>ensure</w:t>
      </w:r>
      <w:r w:rsidR="007812A2">
        <w:t>s</w:t>
      </w:r>
      <w:r>
        <w:t xml:space="preserve"> calibration monitoring of Himawari-8</w:t>
      </w:r>
      <w:r w:rsidR="007812A2">
        <w:t xml:space="preserve"> AHI</w:t>
      </w:r>
      <w:r>
        <w:t>.</w:t>
      </w:r>
      <w:r w:rsidR="007812A2">
        <w:t xml:space="preserve"> </w:t>
      </w:r>
    </w:p>
    <w:p w:rsidR="005A362B" w:rsidRDefault="005A362B" w:rsidP="00960884"/>
    <w:p w:rsidR="005A362B" w:rsidRDefault="005A362B" w:rsidP="005A362B">
      <w:pPr>
        <w:keepNext/>
        <w:jc w:val="center"/>
      </w:pPr>
      <w:r>
        <w:rPr>
          <w:noProof/>
          <w:lang w:val="en-US" w:eastAsia="en-US"/>
        </w:rPr>
        <w:drawing>
          <wp:inline distT="0" distB="0" distL="0" distR="0">
            <wp:extent cx="4600717" cy="2266494"/>
            <wp:effectExtent l="19050" t="0" r="9383" b="0"/>
            <wp:docPr id="6" name="Picture 5" descr="scat_30d.aqua.2016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t_30d.aqua.201607.png"/>
                    <pic:cNvPicPr/>
                  </pic:nvPicPr>
                  <pic:blipFill>
                    <a:blip r:embed="rId81" cstate="print"/>
                    <a:srcRect b="66742"/>
                    <a:stretch>
                      <a:fillRect/>
                    </a:stretch>
                  </pic:blipFill>
                  <pic:spPr>
                    <a:xfrm>
                      <a:off x="0" y="0"/>
                      <a:ext cx="4602279" cy="2267264"/>
                    </a:xfrm>
                    <a:prstGeom prst="rect">
                      <a:avLst/>
                    </a:prstGeom>
                  </pic:spPr>
                </pic:pic>
              </a:graphicData>
            </a:graphic>
          </wp:inline>
        </w:drawing>
      </w:r>
    </w:p>
    <w:p w:rsidR="005A362B" w:rsidRDefault="005A362B" w:rsidP="005A362B">
      <w:pPr>
        <w:pStyle w:val="Caption"/>
        <w:jc w:val="center"/>
      </w:pPr>
      <w:bookmarkStart w:id="77" w:name="_Toc460923896"/>
      <w:r>
        <w:t xml:space="preserve">Figure </w:t>
      </w:r>
      <w:r w:rsidR="00E27A82">
        <w:fldChar w:fldCharType="begin"/>
      </w:r>
      <w:r w:rsidR="002D15AB">
        <w:instrText xml:space="preserve"> SEQ Figure \* ARABIC </w:instrText>
      </w:r>
      <w:r w:rsidR="00E27A82">
        <w:fldChar w:fldCharType="separate"/>
      </w:r>
      <w:r w:rsidR="00ED66C2">
        <w:rPr>
          <w:noProof/>
        </w:rPr>
        <w:t>39</w:t>
      </w:r>
      <w:r w:rsidR="00E27A82">
        <w:fldChar w:fldCharType="end"/>
      </w:r>
      <w:r w:rsidR="00BF6613">
        <w:t>:</w:t>
      </w:r>
      <w:r>
        <w:t xml:space="preserve"> Himawari-8 AHI band 1 and 2 vicarious calibrations statistics July 2016. (Courtesy JMA</w:t>
      </w:r>
      <w:r w:rsidR="00531278">
        <w:t>,</w:t>
      </w:r>
      <w:r>
        <w:t xml:space="preserve"> Himawari-8 Calibration Portal)</w:t>
      </w:r>
      <w:r w:rsidR="00BF6613">
        <w:t>.</w:t>
      </w:r>
      <w:bookmarkEnd w:id="77"/>
    </w:p>
    <w:p w:rsidR="00D20DB3" w:rsidRDefault="003133C1">
      <w:pPr>
        <w:autoSpaceDE w:val="0"/>
        <w:autoSpaceDN w:val="0"/>
        <w:adjustRightInd w:val="0"/>
        <w:spacing w:after="0"/>
        <w:rPr>
          <w:rFonts w:asciiTheme="minorHAnsi" w:hAnsiTheme="minorHAnsi" w:cstheme="minorHAnsi"/>
          <w:color w:val="auto"/>
          <w:lang w:val="en-GB" w:eastAsia="en-US"/>
        </w:rPr>
      </w:pPr>
      <w:r>
        <w:t xml:space="preserve">Whilst the imagers on the new generation meteorological geostationary satellites have accurate onboard calibration, the calibration of the visible channels relies on various methods. Several various approaches </w:t>
      </w:r>
      <w:r w:rsidR="00B335D7" w:rsidRPr="00B335D7">
        <w:rPr>
          <w:rFonts w:asciiTheme="minorHAnsi" w:hAnsiTheme="minorHAnsi" w:cstheme="minorHAnsi"/>
        </w:rPr>
        <w:t xml:space="preserve">have over the years been adopted using e.g. desert targets in vicarious calibration methods, cross-calibration with other satellite e.g. over Deep Convective Clouds and Lunar calibration methods. In particular the latter method, provided that the instruments are capable of Lunar observations, has the utility to provide highly accurate calibration of the visible channels. Whilst today, lunar calibration provides and absolute accuracy of 5-10%, a significantly better accuracy can be achieved. </w:t>
      </w:r>
      <w:r w:rsidR="00B335D7" w:rsidRPr="00B335D7">
        <w:rPr>
          <w:rFonts w:asciiTheme="minorHAnsi" w:hAnsiTheme="minorHAnsi" w:cstheme="minorHAnsi"/>
          <w:color w:val="auto"/>
          <w:lang w:val="en-GB" w:eastAsia="en-US"/>
        </w:rPr>
        <w:t>Lunar calibration has the potential to provide absolute radiometric calibrations of solar band sensors in orbit with SI-traceable accuracy better than 1.0% (</w:t>
      </w:r>
      <w:r w:rsidR="00B335D7" w:rsidRPr="00B335D7">
        <w:rPr>
          <w:rFonts w:asciiTheme="minorHAnsi" w:hAnsiTheme="minorHAnsi" w:cstheme="minorHAnsi"/>
          <w:i/>
          <w:iCs/>
          <w:color w:val="auto"/>
          <w:lang w:val="en-GB" w:eastAsia="en-US"/>
        </w:rPr>
        <w:t>k</w:t>
      </w:r>
      <w:r w:rsidR="00B335D7" w:rsidRPr="00B335D7">
        <w:rPr>
          <w:rFonts w:asciiTheme="minorHAnsi" w:hAnsiTheme="minorHAnsi" w:cstheme="minorHAnsi"/>
          <w:color w:val="auto"/>
          <w:lang w:val="en-GB" w:eastAsia="en-US"/>
        </w:rPr>
        <w:t>=2). Whilst this is beyond current capabilities, it would be achievable if high-accuracy, SI-traceable absolute measurements of the Moon are acquired and developed into an absolute lunar reference standard. The availability of such a high-accuracy absolute reference has significant implications for the utility of data acquired from solar band instruments, particularly with regard to consistency and inter-operability across sensors and platforms, and the construction of climate records. With this reference standard, absolute accuracy requirements for visible and near-infrared channel sensors could be set to a similar level.</w:t>
      </w:r>
    </w:p>
    <w:p w:rsidR="003133C1" w:rsidRDefault="003133C1" w:rsidP="003133C1">
      <w:pPr>
        <w:autoSpaceDE w:val="0"/>
        <w:autoSpaceDN w:val="0"/>
        <w:adjustRightInd w:val="0"/>
        <w:spacing w:after="0"/>
        <w:jc w:val="left"/>
        <w:rPr>
          <w:rFonts w:ascii="Arial" w:hAnsi="Arial" w:cs="Arial"/>
          <w:color w:val="auto"/>
          <w:lang w:val="en-GB" w:eastAsia="en-US"/>
        </w:rPr>
      </w:pPr>
    </w:p>
    <w:p w:rsidR="003133C1" w:rsidRDefault="00D20DB3" w:rsidP="003133C1">
      <w:pPr>
        <w:autoSpaceDE w:val="0"/>
        <w:autoSpaceDN w:val="0"/>
        <w:adjustRightInd w:val="0"/>
        <w:spacing w:after="0"/>
        <w:jc w:val="left"/>
        <w:rPr>
          <w:rFonts w:ascii="Arial" w:hAnsi="Arial" w:cs="Arial"/>
          <w:color w:val="auto"/>
          <w:lang w:val="en-GB" w:eastAsia="en-US"/>
        </w:rPr>
      </w:pPr>
      <w:r>
        <w:rPr>
          <w:rFonts w:ascii="Arial" w:hAnsi="Arial" w:cs="Arial"/>
          <w:noProof/>
          <w:color w:val="auto"/>
          <w:lang w:val="en-US" w:eastAsia="en-US"/>
        </w:rPr>
        <w:drawing>
          <wp:inline distT="0" distB="0" distL="0" distR="0">
            <wp:extent cx="5943600" cy="2610485"/>
            <wp:effectExtent l="19050" t="0" r="0" b="0"/>
            <wp:docPr id="44" name="Picture 1" descr="\\fsw0644\user4\Takahashi\DesktopW7\Dev\EumWork\WindowsWork\Documents\Presentation\20140923_eumconf2014\presentation\fig\dcc\MTSAT2+Imager+VIS-Aqua+MODIS_GEOLEOIR_RAC.png"/>
            <wp:cNvGraphicFramePr/>
            <a:graphic xmlns:a="http://schemas.openxmlformats.org/drawingml/2006/main">
              <a:graphicData uri="http://schemas.openxmlformats.org/drawingml/2006/picture">
                <pic:pic xmlns:pic="http://schemas.openxmlformats.org/drawingml/2006/picture">
                  <pic:nvPicPr>
                    <pic:cNvPr id="27651" name="Picture 3" descr="\\fsw0644\user4\Takahashi\DesktopW7\Dev\EumWork\WindowsWork\Documents\Presentation\20140923_eumconf2014\presentation\fig\dcc\MTSAT2+Imager+VIS-Aqua+MODIS_GEOLEOIR_RAC.png"/>
                    <pic:cNvPicPr>
                      <a:picLocks noChangeAspect="1" noChangeArrowheads="1"/>
                    </pic:cNvPicPr>
                  </pic:nvPicPr>
                  <pic:blipFill>
                    <a:blip r:embed="rId82" cstate="screen"/>
                    <a:srcRect/>
                    <a:stretch>
                      <a:fillRect/>
                    </a:stretch>
                  </pic:blipFill>
                  <pic:spPr bwMode="auto">
                    <a:xfrm>
                      <a:off x="0" y="0"/>
                      <a:ext cx="5943600" cy="2610485"/>
                    </a:xfrm>
                    <a:prstGeom prst="rect">
                      <a:avLst/>
                    </a:prstGeom>
                    <a:noFill/>
                  </pic:spPr>
                </pic:pic>
              </a:graphicData>
            </a:graphic>
          </wp:inline>
        </w:drawing>
      </w:r>
    </w:p>
    <w:p w:rsidR="003133C1" w:rsidRDefault="003133C1" w:rsidP="003133C1">
      <w:pPr>
        <w:autoSpaceDE w:val="0"/>
        <w:autoSpaceDN w:val="0"/>
        <w:adjustRightInd w:val="0"/>
        <w:spacing w:after="0"/>
        <w:jc w:val="left"/>
        <w:rPr>
          <w:rFonts w:ascii="Arial" w:hAnsi="Arial" w:cs="Arial"/>
          <w:color w:val="auto"/>
          <w:lang w:val="en-GB" w:eastAsia="en-US"/>
        </w:rPr>
      </w:pPr>
    </w:p>
    <w:p w:rsidR="00D20DB3" w:rsidRDefault="00092EE6" w:rsidP="00BF6613">
      <w:pPr>
        <w:pStyle w:val="Caption"/>
        <w:jc w:val="center"/>
        <w:rPr>
          <w:rFonts w:asciiTheme="minorHAnsi" w:hAnsiTheme="minorHAnsi" w:cstheme="minorHAnsi"/>
        </w:rPr>
      </w:pPr>
      <w:bookmarkStart w:id="78" w:name="_Toc460923897"/>
      <w:r>
        <w:t xml:space="preserve">Figure </w:t>
      </w:r>
      <w:r w:rsidR="00E27A82">
        <w:fldChar w:fldCharType="begin"/>
      </w:r>
      <w:r>
        <w:instrText xml:space="preserve"> SEQ Figure \* ARABIC </w:instrText>
      </w:r>
      <w:r w:rsidR="00E27A82">
        <w:fldChar w:fldCharType="separate"/>
      </w:r>
      <w:r w:rsidR="00ED66C2">
        <w:rPr>
          <w:noProof/>
        </w:rPr>
        <w:t>40</w:t>
      </w:r>
      <w:r w:rsidR="00E27A82">
        <w:fldChar w:fldCharType="end"/>
      </w:r>
      <w:r w:rsidR="00BF6613">
        <w:t>:</w:t>
      </w:r>
      <w:r>
        <w:t xml:space="preserve"> </w:t>
      </w:r>
      <w:r w:rsidRPr="003133C1">
        <w:rPr>
          <w:lang w:val="en-GB" w:eastAsia="en-US"/>
        </w:rPr>
        <w:t>A comparison of various calibration methods. Time series representation of variation in the MTSAT-2 visible calibration slope as derived using three calibration methods (DCC = Cross calibration using Deep Convective Clouds, Moon = Lunar calibration</w:t>
      </w:r>
      <w:r>
        <w:rPr>
          <w:lang w:val="en-GB" w:eastAsia="en-US"/>
        </w:rPr>
        <w:t>,</w:t>
      </w:r>
      <w:r w:rsidRPr="003133C1">
        <w:rPr>
          <w:lang w:val="en-GB" w:eastAsia="en-US"/>
        </w:rPr>
        <w:t xml:space="preserve"> RSTAR = Vicarious Calibration</w:t>
      </w:r>
      <w:r>
        <w:rPr>
          <w:lang w:val="en-GB" w:eastAsia="en-US"/>
        </w:rPr>
        <w:t xml:space="preserve"> using radiative Transfer Model simulations</w:t>
      </w:r>
      <w:r w:rsidRPr="003133C1">
        <w:rPr>
          <w:lang w:val="en-GB" w:eastAsia="en-US"/>
        </w:rPr>
        <w:t>). Each result is normalized against the first calibration result. The shaded are shows the 95% confidence interval of the linear regression.</w:t>
      </w:r>
      <w:r w:rsidRPr="003133C1">
        <w:rPr>
          <w:sz w:val="28"/>
          <w:szCs w:val="28"/>
        </w:rPr>
        <w:t xml:space="preserve"> </w:t>
      </w:r>
      <w:r>
        <w:rPr>
          <w:rFonts w:eastAsia="Times New Roman"/>
          <w:lang w:val="en-GB" w:eastAsia="en-GB"/>
        </w:rPr>
        <w:t>(</w:t>
      </w:r>
      <w:r w:rsidRPr="003133C1">
        <w:rPr>
          <w:rFonts w:eastAsia="Times New Roman"/>
          <w:lang w:val="en-GB" w:eastAsia="en-GB"/>
        </w:rPr>
        <w:t>Takahashi and Okuyama</w:t>
      </w:r>
      <w:r>
        <w:rPr>
          <w:rFonts w:eastAsia="Times New Roman"/>
          <w:lang w:val="en-GB" w:eastAsia="en-GB"/>
        </w:rPr>
        <w:t>, 2015).</w:t>
      </w:r>
      <w:bookmarkEnd w:id="78"/>
    </w:p>
    <w:p w:rsidR="00086C2C" w:rsidRDefault="00086C2C" w:rsidP="00437972">
      <w:pPr>
        <w:pStyle w:val="Heading2"/>
      </w:pPr>
      <w:bookmarkStart w:id="79" w:name="_Toc460923852"/>
      <w:r>
        <w:t>EUMETSAT Satellite Application Facilities (SAFs)</w:t>
      </w:r>
      <w:bookmarkEnd w:id="79"/>
    </w:p>
    <w:p w:rsidR="00D20DB3" w:rsidRDefault="00D20DB3" w:rsidP="00D20DB3">
      <w:pPr>
        <w:rPr>
          <w:rFonts w:cs="Calibri"/>
          <w:lang w:val="en-GB"/>
        </w:rPr>
      </w:pPr>
      <w:r w:rsidRPr="00B0622A">
        <w:t>The EUMET</w:t>
      </w:r>
      <w:r>
        <w:t>S</w:t>
      </w:r>
      <w:r w:rsidRPr="00B0622A">
        <w:t>AT Satellite Application Facilities (SAFs) provide users with operational data and software products, with each one being dedicated to a particular user community and application area. The SAF activities are centrally coordinated so as to ensure that the SAFs provide reliable and timely services to their respective user communities. The</w:t>
      </w:r>
      <w:r>
        <w:t xml:space="preserve">ir </w:t>
      </w:r>
      <w:r w:rsidRPr="00B0622A">
        <w:t xml:space="preserve">deliverables range from a specific piece of software to be made available to users for use in their own environment, to data and products made available in near real-time or offline. </w:t>
      </w:r>
      <w:r>
        <w:t xml:space="preserve">The SAFs that provide software/tools and monitoring capabilities could be used as a model for collaboration and joint development activities as well as enabling simple software packages to be developed and distributed to NMA users with limited resources in satellite remote sensing. </w:t>
      </w:r>
    </w:p>
    <w:p w:rsidR="00BF6613" w:rsidRDefault="00D20DB3" w:rsidP="00D20DB3">
      <w:pPr>
        <w:rPr>
          <w:lang w:val="en-US"/>
        </w:rPr>
      </w:pPr>
      <w:r w:rsidRPr="00B0622A">
        <w:rPr>
          <w:lang w:val="en-US"/>
        </w:rPr>
        <w:t xml:space="preserve">The SAFs are located within the National Meteorological Services (NMS) of EUMETSAT Member States, or other agreed entities linked to a user community, and carry out relevant research, development, and operational activities not carried out by EUMETSAT centrally. </w:t>
      </w:r>
    </w:p>
    <w:p w:rsidR="00D20DB3" w:rsidRPr="00B0622A" w:rsidRDefault="00D20DB3" w:rsidP="00D20DB3">
      <w:pPr>
        <w:widowControl w:val="0"/>
        <w:autoSpaceDE w:val="0"/>
        <w:autoSpaceDN w:val="0"/>
        <w:adjustRightInd w:val="0"/>
        <w:rPr>
          <w:rFonts w:asciiTheme="minorHAnsi" w:hAnsiTheme="minorHAnsi" w:cstheme="minorHAnsi"/>
          <w:color w:val="0F1C26"/>
          <w:lang w:val="en-US"/>
        </w:rPr>
      </w:pPr>
      <w:r w:rsidRPr="00B0622A">
        <w:rPr>
          <w:rFonts w:asciiTheme="minorHAnsi" w:hAnsiTheme="minorHAnsi" w:cstheme="minorHAnsi"/>
          <w:color w:val="0F1C26"/>
          <w:lang w:val="en-US"/>
        </w:rPr>
        <w:t>The network of EUMETSAT SAFs consists of the:</w:t>
      </w:r>
    </w:p>
    <w:p w:rsidR="00D20DB3" w:rsidRPr="00BF6613" w:rsidRDefault="00D20DB3" w:rsidP="00BF6613">
      <w:pPr>
        <w:pStyle w:val="ListBullet"/>
      </w:pPr>
      <w:r w:rsidRPr="00BF6613">
        <w:t>Nowcasting SAF (NWC SAF);</w:t>
      </w:r>
    </w:p>
    <w:p w:rsidR="00D20DB3" w:rsidRPr="00BF6613" w:rsidRDefault="00D20DB3" w:rsidP="00BF6613">
      <w:pPr>
        <w:pStyle w:val="ListBullet"/>
      </w:pPr>
      <w:r w:rsidRPr="00BF6613">
        <w:t>Numerical Weather Prediction SAF (NWP SAF);</w:t>
      </w:r>
    </w:p>
    <w:p w:rsidR="00D20DB3" w:rsidRPr="00BF6613" w:rsidRDefault="00D20DB3" w:rsidP="00BF6613">
      <w:pPr>
        <w:pStyle w:val="ListBullet"/>
      </w:pPr>
      <w:r w:rsidRPr="00BF6613">
        <w:t>Ocean and Sea Ice SAF (OSI SAF);</w:t>
      </w:r>
    </w:p>
    <w:p w:rsidR="00D20DB3" w:rsidRPr="00BF6613" w:rsidRDefault="00D20DB3" w:rsidP="00BF6613">
      <w:pPr>
        <w:pStyle w:val="ListBullet"/>
      </w:pPr>
      <w:r w:rsidRPr="00BF6613">
        <w:t>Climate Monitoring SAF (CM SAF);</w:t>
      </w:r>
    </w:p>
    <w:p w:rsidR="00D20DB3" w:rsidRPr="00BF6613" w:rsidRDefault="00D20DB3" w:rsidP="00BF6613">
      <w:pPr>
        <w:pStyle w:val="ListBullet"/>
      </w:pPr>
      <w:r w:rsidRPr="00BF6613">
        <w:t>Land Surface Analysis SAF (LSA SAF);</w:t>
      </w:r>
    </w:p>
    <w:p w:rsidR="00D20DB3" w:rsidRPr="00BF6613" w:rsidRDefault="00D20DB3" w:rsidP="00BF6613">
      <w:pPr>
        <w:pStyle w:val="ListBullet"/>
      </w:pPr>
      <w:r w:rsidRPr="00BF6613">
        <w:t>Ozone and Atmospheric Chemistry Monitoring SAF (O3M SAF);</w:t>
      </w:r>
    </w:p>
    <w:p w:rsidR="00D20DB3" w:rsidRPr="00BF6613" w:rsidRDefault="00D20DB3" w:rsidP="00BF6613">
      <w:pPr>
        <w:pStyle w:val="ListBullet"/>
      </w:pPr>
      <w:r w:rsidRPr="00BF6613">
        <w:t>Radio Occultation Meteorology SAF (ROM SAF);</w:t>
      </w:r>
    </w:p>
    <w:p w:rsidR="00D20DB3" w:rsidRPr="00BF6613" w:rsidRDefault="00D20DB3" w:rsidP="00BF6613">
      <w:pPr>
        <w:pStyle w:val="ListBullet"/>
        <w:spacing w:after="240"/>
      </w:pPr>
      <w:r w:rsidRPr="00BF6613">
        <w:t>Hydrology SAF</w:t>
      </w:r>
      <w:r w:rsidRPr="00B0622A">
        <w:t xml:space="preserve"> (H SAF).</w:t>
      </w:r>
    </w:p>
    <w:p w:rsidR="00D20DB3" w:rsidRPr="00B0622A" w:rsidRDefault="00D20DB3" w:rsidP="00BF6613">
      <w:pPr>
        <w:widowControl w:val="0"/>
        <w:autoSpaceDE w:val="0"/>
        <w:autoSpaceDN w:val="0"/>
        <w:adjustRightInd w:val="0"/>
        <w:spacing w:before="120"/>
        <w:rPr>
          <w:rFonts w:asciiTheme="minorHAnsi" w:hAnsiTheme="minorHAnsi" w:cstheme="minorHAnsi"/>
          <w:b/>
          <w:color w:val="0F1C26"/>
          <w:lang w:val="en-US"/>
        </w:rPr>
      </w:pPr>
      <w:r w:rsidRPr="00B0622A">
        <w:rPr>
          <w:rFonts w:asciiTheme="minorHAnsi" w:hAnsiTheme="minorHAnsi" w:cstheme="minorHAnsi"/>
          <w:b/>
          <w:color w:val="0F1C26"/>
          <w:lang w:val="en-US"/>
        </w:rPr>
        <w:t>NWC SAF</w:t>
      </w:r>
    </w:p>
    <w:p w:rsidR="00D20DB3" w:rsidRPr="00B0622A" w:rsidRDefault="00D20DB3" w:rsidP="00D20DB3">
      <w:pPr>
        <w:spacing w:after="240"/>
        <w:rPr>
          <w:lang w:val="en-US"/>
        </w:rPr>
      </w:pPr>
      <w:r w:rsidRPr="00B0622A">
        <w:rPr>
          <w:lang w:val="en-US"/>
        </w:rPr>
        <w:t>The main goal of the NWC SAF is to produce software packages that support Nowcasting and Very Short Range Forecasting. The software, which is for local installation at the user's site, processes data from operational meteorological satellites flying in geostationary orbits (e.g. Meteosat Second Generation (MSG)) or polar orbits (e.g. Metop or NOAA) as well as their successors.</w:t>
      </w:r>
    </w:p>
    <w:p w:rsidR="00D20DB3" w:rsidRPr="00B0622A" w:rsidRDefault="00D20DB3" w:rsidP="00D20DB3">
      <w:pPr>
        <w:widowControl w:val="0"/>
        <w:autoSpaceDE w:val="0"/>
        <w:autoSpaceDN w:val="0"/>
        <w:adjustRightInd w:val="0"/>
        <w:rPr>
          <w:rFonts w:asciiTheme="minorHAnsi" w:hAnsiTheme="minorHAnsi" w:cstheme="minorHAnsi"/>
          <w:b/>
          <w:color w:val="0F1C26"/>
          <w:lang w:val="en-US"/>
        </w:rPr>
      </w:pPr>
      <w:r w:rsidRPr="00B0622A">
        <w:rPr>
          <w:rFonts w:asciiTheme="minorHAnsi" w:hAnsiTheme="minorHAnsi" w:cstheme="minorHAnsi"/>
          <w:b/>
          <w:color w:val="0F1C26"/>
          <w:lang w:val="en-US"/>
        </w:rPr>
        <w:t>NWP SAF</w:t>
      </w:r>
    </w:p>
    <w:p w:rsidR="00D20DB3" w:rsidRDefault="00D20DB3" w:rsidP="00D20DB3">
      <w:pPr>
        <w:widowControl w:val="0"/>
        <w:autoSpaceDE w:val="0"/>
        <w:autoSpaceDN w:val="0"/>
        <w:adjustRightInd w:val="0"/>
        <w:spacing w:after="240"/>
        <w:rPr>
          <w:rFonts w:asciiTheme="minorHAnsi" w:hAnsiTheme="minorHAnsi" w:cstheme="minorHAnsi"/>
          <w:color w:val="0F1C26"/>
          <w:lang w:val="en-US"/>
        </w:rPr>
      </w:pPr>
      <w:r w:rsidRPr="00B0622A">
        <w:rPr>
          <w:rFonts w:asciiTheme="minorHAnsi" w:hAnsiTheme="minorHAnsi" w:cstheme="minorHAnsi"/>
          <w:color w:val="0F1C26"/>
          <w:lang w:val="en-US"/>
        </w:rPr>
        <w:t xml:space="preserve">The main objective of the NWP SAF is to increase the benefits derived from numerical weather prediction by developing techniques for more effective use of satellite data, and to improve the exploitation of data and products from EUMETSAT satellites programmes, and </w:t>
      </w:r>
      <w:r>
        <w:rPr>
          <w:rFonts w:asciiTheme="minorHAnsi" w:hAnsiTheme="minorHAnsi" w:cstheme="minorHAnsi"/>
          <w:color w:val="0F1C26"/>
          <w:lang w:val="en-US"/>
        </w:rPr>
        <w:t>the</w:t>
      </w:r>
      <w:r w:rsidRPr="00B0622A">
        <w:rPr>
          <w:rFonts w:asciiTheme="minorHAnsi" w:hAnsiTheme="minorHAnsi" w:cstheme="minorHAnsi"/>
          <w:color w:val="0F1C26"/>
          <w:lang w:val="en-US"/>
        </w:rPr>
        <w:t xml:space="preserve"> related programmes of other agencies. To achieve this objective, the NWP SAF updates, assesses and prioritises user requirements and develops the satellite data processing modules needed to meet those requirements. The NWP SAF is similar to the NWC SAF, in the sense that the NWP delivers processing modules to European NWP operators, rather than operational products and data.</w:t>
      </w:r>
    </w:p>
    <w:p w:rsidR="00D20DB3" w:rsidRPr="00B0622A" w:rsidRDefault="00D20DB3" w:rsidP="00D20DB3">
      <w:pPr>
        <w:rPr>
          <w:rFonts w:asciiTheme="minorHAnsi" w:hAnsiTheme="minorHAnsi" w:cstheme="minorHAnsi"/>
          <w:b/>
          <w:color w:val="0F1C26"/>
          <w:lang w:val="en-US"/>
        </w:rPr>
      </w:pPr>
      <w:r w:rsidRPr="00B0622A">
        <w:rPr>
          <w:rFonts w:asciiTheme="minorHAnsi" w:hAnsiTheme="minorHAnsi" w:cstheme="minorHAnsi"/>
          <w:b/>
          <w:color w:val="0F1C26"/>
          <w:lang w:val="en-US"/>
        </w:rPr>
        <w:t>OSI SAF</w:t>
      </w:r>
    </w:p>
    <w:p w:rsidR="00D20DB3" w:rsidRPr="00B0622A" w:rsidRDefault="00D20DB3" w:rsidP="00D20DB3">
      <w:pPr>
        <w:widowControl w:val="0"/>
        <w:autoSpaceDE w:val="0"/>
        <w:autoSpaceDN w:val="0"/>
        <w:adjustRightInd w:val="0"/>
        <w:spacing w:after="240"/>
        <w:rPr>
          <w:rFonts w:asciiTheme="minorHAnsi" w:hAnsiTheme="minorHAnsi" w:cstheme="minorHAnsi"/>
          <w:color w:val="0F1C26"/>
          <w:lang w:val="en-US"/>
        </w:rPr>
      </w:pPr>
      <w:r w:rsidRPr="00B0622A">
        <w:rPr>
          <w:rFonts w:asciiTheme="minorHAnsi" w:hAnsiTheme="minorHAnsi" w:cstheme="minorHAnsi"/>
          <w:color w:val="0F1C26"/>
          <w:lang w:val="en-US"/>
        </w:rPr>
        <w:t>The OSI SAF is a response to requirements, from the meteorological and oceanographic communities of EUMETSAT Member and Cooperating States, for comprehensive information derived from meteorological satellites at the ocean-atmosphere interface. The OSI SAF offers a precious complement to in-situ data, based on continuously increasing temporal and geographical resolution products from coastal to global coverage.</w:t>
      </w:r>
    </w:p>
    <w:p w:rsidR="00D20DB3" w:rsidRPr="00B0622A" w:rsidRDefault="00D20DB3" w:rsidP="00D20DB3">
      <w:pPr>
        <w:rPr>
          <w:rFonts w:asciiTheme="minorHAnsi" w:hAnsiTheme="minorHAnsi" w:cstheme="minorHAnsi"/>
          <w:b/>
          <w:color w:val="0F1C26"/>
          <w:lang w:val="en-US"/>
        </w:rPr>
      </w:pPr>
      <w:r w:rsidRPr="00B0622A">
        <w:rPr>
          <w:rFonts w:asciiTheme="minorHAnsi" w:hAnsiTheme="minorHAnsi" w:cstheme="minorHAnsi"/>
          <w:b/>
          <w:color w:val="0F1C26"/>
          <w:lang w:val="en-US"/>
        </w:rPr>
        <w:t>CM-SAF</w:t>
      </w:r>
    </w:p>
    <w:p w:rsidR="00D20DB3" w:rsidRPr="00B0622A" w:rsidRDefault="00D20DB3" w:rsidP="00D20DB3">
      <w:pPr>
        <w:widowControl w:val="0"/>
        <w:autoSpaceDE w:val="0"/>
        <w:autoSpaceDN w:val="0"/>
        <w:adjustRightInd w:val="0"/>
        <w:spacing w:after="240"/>
        <w:rPr>
          <w:rFonts w:asciiTheme="minorHAnsi" w:hAnsiTheme="minorHAnsi" w:cstheme="minorHAnsi"/>
          <w:color w:val="0F1C26"/>
          <w:lang w:val="en-US"/>
        </w:rPr>
      </w:pPr>
      <w:r w:rsidRPr="00B0622A">
        <w:rPr>
          <w:rFonts w:asciiTheme="minorHAnsi" w:hAnsiTheme="minorHAnsi" w:cstheme="minorHAnsi"/>
          <w:color w:val="0F1C26"/>
          <w:lang w:val="en-US"/>
        </w:rPr>
        <w:t>The CM SAF generates and archives high-quality datasets for specific climate application areas, through the exploitation of satellite measurements with state-of-the-art algorithms, to derive information about the climate variables of the Earth system. The application areas cover the objectives of various international programs such as the Global Climate Observing System (GCOS), the World Climate Programme (WCP) and the World Climate Research Programme (WCRP), and are also vital for activities within the Group on Earth Observations (GEO) and Copernicus framework.</w:t>
      </w:r>
    </w:p>
    <w:p w:rsidR="00D20DB3" w:rsidRPr="00B0622A" w:rsidRDefault="00D20DB3" w:rsidP="00D20DB3">
      <w:pPr>
        <w:widowControl w:val="0"/>
        <w:autoSpaceDE w:val="0"/>
        <w:autoSpaceDN w:val="0"/>
        <w:adjustRightInd w:val="0"/>
        <w:rPr>
          <w:rFonts w:asciiTheme="minorHAnsi" w:hAnsiTheme="minorHAnsi" w:cstheme="minorHAnsi"/>
          <w:b/>
          <w:bCs/>
          <w:color w:val="011549"/>
          <w:lang w:val="en-US"/>
        </w:rPr>
      </w:pPr>
      <w:r w:rsidRPr="00B0622A">
        <w:rPr>
          <w:rFonts w:asciiTheme="minorHAnsi" w:hAnsiTheme="minorHAnsi" w:cstheme="minorHAnsi"/>
          <w:b/>
          <w:bCs/>
          <w:color w:val="011549"/>
          <w:lang w:val="en-US"/>
        </w:rPr>
        <w:t xml:space="preserve">LSA SAF </w:t>
      </w:r>
    </w:p>
    <w:p w:rsidR="00D20DB3" w:rsidRDefault="00D20DB3" w:rsidP="00D20DB3">
      <w:pPr>
        <w:widowControl w:val="0"/>
        <w:autoSpaceDE w:val="0"/>
        <w:autoSpaceDN w:val="0"/>
        <w:adjustRightInd w:val="0"/>
        <w:spacing w:after="240"/>
        <w:rPr>
          <w:rFonts w:asciiTheme="minorHAnsi" w:hAnsiTheme="minorHAnsi" w:cstheme="minorHAnsi"/>
          <w:color w:val="0F1C26"/>
          <w:lang w:val="en-US"/>
        </w:rPr>
      </w:pPr>
      <w:r w:rsidRPr="00B0622A">
        <w:rPr>
          <w:rFonts w:asciiTheme="minorHAnsi" w:hAnsiTheme="minorHAnsi" w:cstheme="minorHAnsi"/>
          <w:color w:val="0F1C26"/>
          <w:lang w:val="en-US"/>
        </w:rPr>
        <w:t xml:space="preserve">The objective of the LSA SAF is to take full advantage of remotely sensed data on land, land-atmosphere interactions and biosphere applications. A strong emphasis is put on developing and implementing algorithms that will allow an operational use of data from EUMETSAT satellites. The LSA SAF addresses a wide user community, ranging from surface processes modelling e.g. Numerical Weather Prediction (NWP), seasonal forecasting and climate models to agriculture and forestry applications e.g. fire hazards, food production and hydrology. </w:t>
      </w:r>
    </w:p>
    <w:p w:rsidR="00D20DB3" w:rsidRPr="00B0622A" w:rsidRDefault="00D20DB3" w:rsidP="00D20DB3">
      <w:pPr>
        <w:rPr>
          <w:rFonts w:asciiTheme="minorHAnsi" w:hAnsiTheme="minorHAnsi" w:cstheme="minorHAnsi"/>
          <w:b/>
          <w:color w:val="0F1C26"/>
          <w:lang w:val="en-US"/>
        </w:rPr>
      </w:pPr>
      <w:r w:rsidRPr="00B0622A">
        <w:rPr>
          <w:rFonts w:asciiTheme="minorHAnsi" w:hAnsiTheme="minorHAnsi" w:cstheme="minorHAnsi"/>
          <w:b/>
          <w:color w:val="0F1C26"/>
          <w:lang w:val="en-US"/>
        </w:rPr>
        <w:t>O3M SAF</w:t>
      </w:r>
    </w:p>
    <w:p w:rsidR="00D20DB3" w:rsidRPr="00B0622A" w:rsidRDefault="00D20DB3" w:rsidP="00D20DB3">
      <w:pPr>
        <w:widowControl w:val="0"/>
        <w:autoSpaceDE w:val="0"/>
        <w:autoSpaceDN w:val="0"/>
        <w:adjustRightInd w:val="0"/>
        <w:spacing w:after="240"/>
        <w:rPr>
          <w:rFonts w:asciiTheme="minorHAnsi" w:hAnsiTheme="minorHAnsi" w:cstheme="minorHAnsi"/>
          <w:color w:val="0F1C26"/>
          <w:lang w:val="en-US"/>
        </w:rPr>
      </w:pPr>
      <w:r w:rsidRPr="00B0622A">
        <w:rPr>
          <w:rFonts w:asciiTheme="minorHAnsi" w:hAnsiTheme="minorHAnsi" w:cstheme="minorHAnsi"/>
          <w:color w:val="0F1C26"/>
          <w:lang w:val="en-US"/>
        </w:rPr>
        <w:t>The O3M SAF develops, produces, archives, validates and disseminates ozone and atmospheric chemistry products, to support the services of the EUMETSAT Member States in weather forecasting, as well as monitoring of ozone depletion, air quality and surface UV radiation.</w:t>
      </w:r>
    </w:p>
    <w:p w:rsidR="00D20DB3" w:rsidRPr="00B0622A" w:rsidRDefault="00D20DB3" w:rsidP="00D20DB3">
      <w:pPr>
        <w:widowControl w:val="0"/>
        <w:autoSpaceDE w:val="0"/>
        <w:autoSpaceDN w:val="0"/>
        <w:adjustRightInd w:val="0"/>
        <w:rPr>
          <w:rFonts w:asciiTheme="minorHAnsi" w:hAnsiTheme="minorHAnsi" w:cstheme="minorHAnsi"/>
          <w:b/>
          <w:color w:val="0F1C26"/>
          <w:lang w:val="en-US"/>
        </w:rPr>
      </w:pPr>
      <w:r w:rsidRPr="00B0622A">
        <w:rPr>
          <w:rFonts w:asciiTheme="minorHAnsi" w:hAnsiTheme="minorHAnsi" w:cstheme="minorHAnsi"/>
          <w:b/>
          <w:color w:val="0F1C26"/>
          <w:lang w:val="en-US"/>
        </w:rPr>
        <w:t>ROM SAF</w:t>
      </w:r>
    </w:p>
    <w:p w:rsidR="00D20DB3" w:rsidRDefault="00D20DB3" w:rsidP="00D20DB3">
      <w:pPr>
        <w:widowControl w:val="0"/>
        <w:autoSpaceDE w:val="0"/>
        <w:autoSpaceDN w:val="0"/>
        <w:adjustRightInd w:val="0"/>
        <w:spacing w:after="240"/>
        <w:rPr>
          <w:rFonts w:asciiTheme="minorHAnsi" w:hAnsiTheme="minorHAnsi" w:cstheme="minorHAnsi"/>
          <w:color w:val="0F1C26"/>
          <w:lang w:val="en-US"/>
        </w:rPr>
      </w:pPr>
      <w:r w:rsidRPr="00B0622A">
        <w:rPr>
          <w:rFonts w:asciiTheme="minorHAnsi" w:hAnsiTheme="minorHAnsi" w:cstheme="minorHAnsi"/>
          <w:color w:val="0F1C26"/>
          <w:lang w:val="en-US"/>
        </w:rPr>
        <w:t>The ROM SAF generates and archives high-quality GPS Radio Occultation (RO) datasets for Numerical Weather Prediction (NWP) applications and specific climate application areas, through the exploitation of satellite measurements with state-of-the-art algorithms, to derive information about the atmosphere and climate variables of the Earth system. The ROM SAF is also engaged in developing an RO processing software package containing modules for assimilation of RO data in NWP models.</w:t>
      </w:r>
    </w:p>
    <w:p w:rsidR="00D20DB3" w:rsidRPr="00B0622A" w:rsidRDefault="00D20DB3" w:rsidP="00D20DB3">
      <w:pPr>
        <w:rPr>
          <w:rFonts w:asciiTheme="minorHAnsi" w:hAnsiTheme="minorHAnsi" w:cstheme="minorHAnsi"/>
          <w:b/>
          <w:color w:val="0F1C26"/>
          <w:lang w:val="en-US"/>
        </w:rPr>
      </w:pPr>
      <w:r w:rsidRPr="00B0622A">
        <w:rPr>
          <w:rFonts w:asciiTheme="minorHAnsi" w:hAnsiTheme="minorHAnsi" w:cstheme="minorHAnsi"/>
          <w:b/>
          <w:color w:val="0F1C26"/>
          <w:lang w:val="en-US"/>
        </w:rPr>
        <w:t>H SAF</w:t>
      </w:r>
    </w:p>
    <w:p w:rsidR="00D20DB3" w:rsidRDefault="00D20DB3" w:rsidP="00084F20">
      <w:pPr>
        <w:widowControl w:val="0"/>
        <w:autoSpaceDE w:val="0"/>
        <w:autoSpaceDN w:val="0"/>
        <w:adjustRightInd w:val="0"/>
        <w:spacing w:after="240"/>
        <w:rPr>
          <w:rFonts w:asciiTheme="minorHAnsi" w:hAnsiTheme="minorHAnsi" w:cstheme="minorHAnsi"/>
          <w:color w:val="0F1C26"/>
          <w:lang w:val="en-US"/>
        </w:rPr>
      </w:pPr>
      <w:r w:rsidRPr="00B0622A">
        <w:rPr>
          <w:rFonts w:asciiTheme="minorHAnsi" w:hAnsiTheme="minorHAnsi" w:cstheme="minorHAnsi"/>
          <w:color w:val="0F1C26"/>
          <w:lang w:val="en-US"/>
        </w:rPr>
        <w:t xml:space="preserve">The H SAF operationally generates, validates, distributes and archives high-quality datasets and products for operational hydrological applications, starting from the acquisition and processing of data from Earth observation satellites in geostationary and polar orbits, operated both by EUMETSAT and other satellite organisations. </w:t>
      </w:r>
    </w:p>
    <w:p w:rsidR="00084F20" w:rsidRPr="00B0622A" w:rsidRDefault="00084F20" w:rsidP="00084F20">
      <w:pPr>
        <w:widowControl w:val="0"/>
        <w:autoSpaceDE w:val="0"/>
        <w:autoSpaceDN w:val="0"/>
        <w:adjustRightInd w:val="0"/>
        <w:spacing w:after="240"/>
        <w:rPr>
          <w:rFonts w:asciiTheme="minorHAnsi" w:hAnsiTheme="minorHAnsi" w:cstheme="minorHAnsi"/>
          <w:color w:val="0F1C26"/>
          <w:lang w:val="en-US"/>
        </w:rPr>
      </w:pPr>
    </w:p>
    <w:p w:rsidR="00D20DB3" w:rsidRPr="00B0622A" w:rsidRDefault="00D20DB3" w:rsidP="00D20DB3">
      <w:pPr>
        <w:widowControl w:val="0"/>
        <w:autoSpaceDE w:val="0"/>
        <w:autoSpaceDN w:val="0"/>
        <w:adjustRightInd w:val="0"/>
        <w:rPr>
          <w:rFonts w:asciiTheme="minorHAnsi" w:hAnsiTheme="minorHAnsi" w:cstheme="minorHAnsi"/>
          <w:color w:val="0F1C26"/>
          <w:lang w:val="en-US"/>
        </w:rPr>
      </w:pPr>
      <w:bookmarkStart w:id="80" w:name="_GoBack"/>
      <w:bookmarkEnd w:id="80"/>
      <w:r w:rsidRPr="00B0622A">
        <w:rPr>
          <w:rFonts w:asciiTheme="minorHAnsi" w:hAnsiTheme="minorHAnsi" w:cstheme="minorHAnsi"/>
          <w:color w:val="0F1C26"/>
          <w:lang w:val="en-US"/>
        </w:rPr>
        <w:t>The H SAF mainly focuses on:</w:t>
      </w:r>
    </w:p>
    <w:p w:rsidR="00D20DB3" w:rsidRPr="00B0622A" w:rsidRDefault="00D20DB3" w:rsidP="00D20DB3">
      <w:pPr>
        <w:pStyle w:val="ListBullet"/>
      </w:pPr>
      <w:r w:rsidRPr="00B0622A">
        <w:t>The generation of precipitation products, soil moisture products and snow parameters;</w:t>
      </w:r>
    </w:p>
    <w:p w:rsidR="00D20DB3" w:rsidRPr="00D20DB3" w:rsidRDefault="00D20DB3" w:rsidP="00D20DB3">
      <w:pPr>
        <w:pStyle w:val="ListBullet"/>
      </w:pPr>
      <w:r w:rsidRPr="00B0622A">
        <w:t>The independent validation of new products for hydrological applications with special relevance attached to those initiatives which want to mitigate hazards and natural disasters, such as flash floods, forest fires, landslides and drought conditions, and improve water management.</w:t>
      </w:r>
    </w:p>
    <w:p w:rsidR="00437972" w:rsidRDefault="00C938A5" w:rsidP="00437972">
      <w:pPr>
        <w:pStyle w:val="Heading2"/>
      </w:pPr>
      <w:bookmarkStart w:id="81" w:name="_Toc460923853"/>
      <w:r>
        <w:t xml:space="preserve">Bilateral </w:t>
      </w:r>
      <w:r w:rsidR="00CA15FB">
        <w:t>collaboration</w:t>
      </w:r>
      <w:r>
        <w:t xml:space="preserve"> Japan-Australia</w:t>
      </w:r>
      <w:bookmarkEnd w:id="81"/>
    </w:p>
    <w:p w:rsidR="00C671A6" w:rsidRPr="00CC2BF7" w:rsidRDefault="00C671A6" w:rsidP="00C671A6">
      <w:pPr>
        <w:rPr>
          <w:color w:val="FF0000"/>
        </w:rPr>
      </w:pPr>
      <w:r w:rsidRPr="00CC2BF7">
        <w:rPr>
          <w:color w:val="FF0000"/>
        </w:rPr>
        <w:t>TBD</w:t>
      </w:r>
    </w:p>
    <w:p w:rsidR="00C671A6" w:rsidRPr="00CC2BF7" w:rsidRDefault="00C671A6" w:rsidP="00C671A6">
      <w:pPr>
        <w:pStyle w:val="ListBullet"/>
        <w:rPr>
          <w:color w:val="FF0000"/>
        </w:rPr>
      </w:pPr>
      <w:r w:rsidRPr="00CC2BF7">
        <w:rPr>
          <w:color w:val="FF0000"/>
        </w:rPr>
        <w:t xml:space="preserve">High-light the exemplary user engagement of JAXA/JMA with Australia to build a strong non-met </w:t>
      </w:r>
      <w:r w:rsidR="00036CEF" w:rsidRPr="00CC2BF7">
        <w:rPr>
          <w:color w:val="FF0000"/>
        </w:rPr>
        <w:t xml:space="preserve">GEO </w:t>
      </w:r>
      <w:r w:rsidRPr="00CC2BF7">
        <w:rPr>
          <w:color w:val="FF0000"/>
        </w:rPr>
        <w:t>user community for Himawari-8.</w:t>
      </w:r>
    </w:p>
    <w:p w:rsidR="00E16146" w:rsidRPr="00CC2BF7" w:rsidRDefault="00E16146" w:rsidP="00C671A6">
      <w:pPr>
        <w:pStyle w:val="ListBullet"/>
        <w:rPr>
          <w:color w:val="FF0000"/>
        </w:rPr>
      </w:pPr>
      <w:r w:rsidRPr="00CC2BF7">
        <w:rPr>
          <w:color w:val="FF0000"/>
        </w:rPr>
        <w:t xml:space="preserve">Different user </w:t>
      </w:r>
      <w:r w:rsidR="001F1DBD" w:rsidRPr="00CC2BF7">
        <w:rPr>
          <w:color w:val="FF0000"/>
        </w:rPr>
        <w:t>focus/</w:t>
      </w:r>
      <w:r w:rsidRPr="00CC2BF7">
        <w:rPr>
          <w:color w:val="FF0000"/>
        </w:rPr>
        <w:t xml:space="preserve">input as under 5.1 – </w:t>
      </w:r>
      <w:r w:rsidR="00C671A6" w:rsidRPr="00CC2BF7">
        <w:rPr>
          <w:color w:val="FF0000"/>
        </w:rPr>
        <w:t>in this case GEO-LEO research user community</w:t>
      </w:r>
      <w:r w:rsidR="00036CEF" w:rsidRPr="00CC2BF7">
        <w:rPr>
          <w:color w:val="FF0000"/>
        </w:rPr>
        <w:t>.</w:t>
      </w:r>
    </w:p>
    <w:p w:rsidR="00C671A6" w:rsidRPr="00CC2BF7" w:rsidRDefault="00C671A6" w:rsidP="00C671A6">
      <w:pPr>
        <w:pStyle w:val="ListBullet"/>
        <w:rPr>
          <w:color w:val="FF0000"/>
        </w:rPr>
      </w:pPr>
      <w:r w:rsidRPr="00CC2BF7">
        <w:rPr>
          <w:color w:val="FF0000"/>
        </w:rPr>
        <w:t xml:space="preserve">Refer to </w:t>
      </w:r>
      <w:r w:rsidR="00036CEF" w:rsidRPr="00CC2BF7">
        <w:rPr>
          <w:color w:val="FF0000"/>
        </w:rPr>
        <w:t xml:space="preserve">detailed </w:t>
      </w:r>
      <w:r w:rsidRPr="00CC2BF7">
        <w:rPr>
          <w:color w:val="FF0000"/>
        </w:rPr>
        <w:t xml:space="preserve">non-met </w:t>
      </w:r>
      <w:r w:rsidR="00036CEF" w:rsidRPr="00CC2BF7">
        <w:rPr>
          <w:color w:val="FF0000"/>
        </w:rPr>
        <w:t xml:space="preserve">product </w:t>
      </w:r>
      <w:r w:rsidRPr="00CC2BF7">
        <w:rPr>
          <w:color w:val="FF0000"/>
        </w:rPr>
        <w:t xml:space="preserve">catalogue </w:t>
      </w:r>
      <w:hyperlink r:id="rId83" w:history="1">
        <w:r w:rsidR="00036CEF" w:rsidRPr="00CC2BF7">
          <w:rPr>
            <w:rStyle w:val="Hyperlink"/>
            <w:color w:val="FF0000"/>
          </w:rPr>
          <w:t>http://geoapplications.org</w:t>
        </w:r>
      </w:hyperlink>
      <w:r w:rsidR="00036CEF" w:rsidRPr="00CC2BF7">
        <w:rPr>
          <w:color w:val="FF0000"/>
        </w:rPr>
        <w:t xml:space="preserve"> and GEO-LEO workshops.</w:t>
      </w:r>
    </w:p>
    <w:p w:rsidR="00C34D40" w:rsidRDefault="00EF27DB" w:rsidP="00C34D40">
      <w:pPr>
        <w:pStyle w:val="Heading1"/>
      </w:pPr>
      <w:bookmarkStart w:id="82" w:name="_Toc460923854"/>
      <w:r>
        <w:t>Summary and Recommendations</w:t>
      </w:r>
      <w:bookmarkEnd w:id="82"/>
    </w:p>
    <w:p w:rsidR="00854C15" w:rsidRDefault="0037602E" w:rsidP="004509AD">
      <w:r>
        <w:t>This study highlighted</w:t>
      </w:r>
      <w:r w:rsidR="004509AD">
        <w:t xml:space="preserve"> </w:t>
      </w:r>
      <w:r>
        <w:t xml:space="preserve">the value of non-met applications from GEO orbit </w:t>
      </w:r>
      <w:r w:rsidR="004509AD">
        <w:t>both to CEOS agencies as data providers and to existing and prospective users of EO satellite data. Agencies can get a better return on their existing substantial investment in GEO and LEO infrastructure and applications, by applying their infrastructure and expertise to non-meteorological GEO applications. This will strengthen the science and environmental monitoring that is the aim of their LEO programmes, and thereby delivers increased benefit to society. In implementing these new applications, agencies will further benefit from efficiencies and product improvements from collaboration and inter-comparisons with other agencies</w:t>
      </w:r>
      <w:r w:rsidR="00437163">
        <w:t xml:space="preserve"> but also from the user community of non-meteorological applications. Engagement with the user community</w:t>
      </w:r>
      <w:r w:rsidR="00854C15">
        <w:t>,</w:t>
      </w:r>
      <w:r w:rsidR="00437163">
        <w:t xml:space="preserve"> </w:t>
      </w:r>
      <w:r w:rsidR="00854C15">
        <w:t>e.g. through dedicated w</w:t>
      </w:r>
      <w:r w:rsidR="004F3043">
        <w:t>orkshops will advance</w:t>
      </w:r>
      <w:r w:rsidR="00854C15">
        <w:t xml:space="preserve"> algo</w:t>
      </w:r>
      <w:r w:rsidR="004F3043">
        <w:t>rithm developments as well as</w:t>
      </w:r>
      <w:r w:rsidR="00854C15">
        <w:t xml:space="preserve"> increase uptake of the new non-meteorological GEO products.</w:t>
      </w:r>
      <w:r w:rsidR="005045B9">
        <w:t xml:space="preserve"> A good example is the Japan-Australia collaboration on non-me</w:t>
      </w:r>
      <w:r w:rsidR="00AA35E9">
        <w:t>t applications from Himawari-8 (</w:t>
      </w:r>
      <w:r w:rsidR="006C2A23">
        <w:t>see Chapter 5</w:t>
      </w:r>
      <w:r w:rsidR="005045B9">
        <w:t>).</w:t>
      </w:r>
    </w:p>
    <w:p w:rsidR="00854C15" w:rsidRDefault="00042E7B" w:rsidP="004509AD">
      <w:r>
        <w:t xml:space="preserve">The progressive implementation of </w:t>
      </w:r>
      <w:r w:rsidR="00854C15">
        <w:t>new non-met</w:t>
      </w:r>
      <w:r w:rsidR="00204A86">
        <w:t xml:space="preserve"> applications </w:t>
      </w:r>
      <w:r>
        <w:t xml:space="preserve">from GEO orbit </w:t>
      </w:r>
      <w:r w:rsidR="00204A86">
        <w:t xml:space="preserve">also </w:t>
      </w:r>
      <w:r>
        <w:t xml:space="preserve">supports </w:t>
      </w:r>
      <w:r w:rsidR="00204A86">
        <w:t xml:space="preserve">the Global Earth Observation System of Systems (GEOSS) </w:t>
      </w:r>
      <w:r>
        <w:t xml:space="preserve">by </w:t>
      </w:r>
      <w:r w:rsidR="00204A86">
        <w:t xml:space="preserve">addressing many </w:t>
      </w:r>
      <w:r>
        <w:t xml:space="preserve">of the </w:t>
      </w:r>
      <w:r w:rsidR="00204A86">
        <w:t xml:space="preserve">different Societal Benefit Areas (SBAs) mainly </w:t>
      </w:r>
      <w:r>
        <w:t>D</w:t>
      </w:r>
      <w:r w:rsidR="00204A86">
        <w:t>isasters</w:t>
      </w:r>
      <w:r w:rsidR="00740359">
        <w:t xml:space="preserve"> (e.g. pollution events, floods</w:t>
      </w:r>
      <w:r w:rsidR="004F3043">
        <w:t>, fire</w:t>
      </w:r>
      <w:r w:rsidR="00740359">
        <w:t>)</w:t>
      </w:r>
      <w:r w:rsidR="00204A86">
        <w:t>,</w:t>
      </w:r>
      <w:r>
        <w:t xml:space="preserve"> C</w:t>
      </w:r>
      <w:r w:rsidR="00204A86">
        <w:t>limate</w:t>
      </w:r>
      <w:r w:rsidR="00740359">
        <w:t xml:space="preserve"> (e.g. predicting, mitigating)</w:t>
      </w:r>
      <w:r>
        <w:t>, Ecosystems</w:t>
      </w:r>
      <w:r w:rsidR="00740359">
        <w:t xml:space="preserve"> (e.g. land, coastal and ocean management)</w:t>
      </w:r>
      <w:r>
        <w:t>, Biodiversity</w:t>
      </w:r>
      <w:r w:rsidR="00740359">
        <w:t xml:space="preserve"> (e.g. conservation), Health</w:t>
      </w:r>
      <w:r w:rsidR="00740359" w:rsidRPr="00740359">
        <w:t xml:space="preserve"> </w:t>
      </w:r>
      <w:r w:rsidR="00740359">
        <w:t xml:space="preserve">(e.g. </w:t>
      </w:r>
      <w:r w:rsidR="00E3220A">
        <w:t xml:space="preserve">harmful algal blooms, </w:t>
      </w:r>
      <w:r w:rsidR="00740359">
        <w:t>spread of infectious diseases)</w:t>
      </w:r>
      <w:r>
        <w:t xml:space="preserve"> and Water</w:t>
      </w:r>
      <w:r w:rsidR="00740359">
        <w:t xml:space="preserve"> (e.g. fisheries and habitat)</w:t>
      </w:r>
      <w:r>
        <w:t xml:space="preserve"> </w:t>
      </w:r>
      <w:r w:rsidR="00AA35E9">
        <w:t>–</w:t>
      </w:r>
      <w:r w:rsidR="00740359">
        <w:t xml:space="preserve"> </w:t>
      </w:r>
      <w:r w:rsidR="00AA35E9">
        <w:t xml:space="preserve">a few of these applications were highlighted in </w:t>
      </w:r>
      <w:r w:rsidR="00740359">
        <w:t>Ch</w:t>
      </w:r>
      <w:r w:rsidR="00AA35E9">
        <w:t xml:space="preserve">apter </w:t>
      </w:r>
      <w:r w:rsidR="00E27A82">
        <w:fldChar w:fldCharType="begin"/>
      </w:r>
      <w:r w:rsidR="00AA35E9">
        <w:instrText xml:space="preserve"> REF _Ref459762509 \r \h </w:instrText>
      </w:r>
      <w:r w:rsidR="00E27A82">
        <w:fldChar w:fldCharType="separate"/>
      </w:r>
      <w:r w:rsidR="00ED66C2">
        <w:t>3</w:t>
      </w:r>
      <w:r w:rsidR="00E27A82">
        <w:fldChar w:fldCharType="end"/>
      </w:r>
      <w:r w:rsidR="00204A86">
        <w:t>.</w:t>
      </w:r>
      <w:r w:rsidR="004F3043">
        <w:t xml:space="preserve"> Optimization of the </w:t>
      </w:r>
      <w:r w:rsidR="00AA35E9">
        <w:t>social benefit of space-based E</w:t>
      </w:r>
      <w:r w:rsidR="004F3043">
        <w:t>a</w:t>
      </w:r>
      <w:r w:rsidR="00AA35E9">
        <w:t>r</w:t>
      </w:r>
      <w:r w:rsidR="004F3043">
        <w:t>th observation also aligns with the CEOS Strategic Guidance.</w:t>
      </w:r>
    </w:p>
    <w:p w:rsidR="004201B1" w:rsidRDefault="00740359" w:rsidP="00350925">
      <w:r>
        <w:t xml:space="preserve">Many environmental studies would </w:t>
      </w:r>
      <w:r w:rsidR="00042E7B">
        <w:t>b</w:t>
      </w:r>
      <w:r>
        <w:t xml:space="preserve">enefit from global </w:t>
      </w:r>
      <w:r w:rsidR="00AA35E9">
        <w:t xml:space="preserve">coverage of </w:t>
      </w:r>
      <w:r w:rsidR="005045B9">
        <w:t xml:space="preserve">satellite observations, which given the technical similarity of the current and to be launched advanced GEO sensors (see Table XX) could be achieved from a constellation of GEO imagers or GEO-ring. A </w:t>
      </w:r>
      <w:r w:rsidR="00A45BAD">
        <w:t xml:space="preserve">key </w:t>
      </w:r>
      <w:r w:rsidR="005045B9">
        <w:t xml:space="preserve">challenge </w:t>
      </w:r>
      <w:r w:rsidR="00F40984">
        <w:t xml:space="preserve">in terms of data quality </w:t>
      </w:r>
      <w:r w:rsidR="005045B9">
        <w:t>is the production of consistently inter-calibrated products</w:t>
      </w:r>
      <w:r w:rsidR="0090295E">
        <w:t xml:space="preserve"> against reference instruments or calibration sites</w:t>
      </w:r>
      <w:r w:rsidR="00F40984">
        <w:t xml:space="preserve">. This is an area that is already well addressed by </w:t>
      </w:r>
      <w:r w:rsidR="00A45BAD">
        <w:t>CGMS/</w:t>
      </w:r>
      <w:r w:rsidR="00F40984">
        <w:t xml:space="preserve">GSICS working on inter-agency data harmonization and inter- and vicarious calibration of GEO using LEO sensors. </w:t>
      </w:r>
    </w:p>
    <w:p w:rsidR="00A45BAD" w:rsidRPr="00CC2BF7" w:rsidRDefault="00E1189A" w:rsidP="00E1189A">
      <w:pPr>
        <w:pStyle w:val="CommentText"/>
        <w:rPr>
          <w:color w:val="FF0000"/>
          <w:sz w:val="22"/>
          <w:szCs w:val="22"/>
        </w:rPr>
      </w:pPr>
      <w:r w:rsidRPr="00CC2BF7">
        <w:rPr>
          <w:color w:val="FF0000"/>
          <w:sz w:val="22"/>
          <w:szCs w:val="22"/>
        </w:rPr>
        <w:t>TBD: Need to highlight the relevance and linkages to CEOS VCs and WGs. Blue Planet etc. Alignment of this stud</w:t>
      </w:r>
      <w:r w:rsidR="00CC2BF7">
        <w:rPr>
          <w:color w:val="FF0000"/>
          <w:sz w:val="22"/>
          <w:szCs w:val="22"/>
        </w:rPr>
        <w:t>y with CEOS Strategic Goals etc.</w:t>
      </w:r>
      <w:r w:rsidRPr="00CC2BF7">
        <w:rPr>
          <w:color w:val="FF0000"/>
          <w:sz w:val="22"/>
          <w:szCs w:val="22"/>
        </w:rPr>
        <w:t xml:space="preserve"> </w:t>
      </w:r>
    </w:p>
    <w:p w:rsidR="00EF27DB" w:rsidRDefault="00A45BAD" w:rsidP="00E3220A">
      <w:pPr>
        <w:spacing w:after="240"/>
      </w:pPr>
      <w:r>
        <w:t>To a</w:t>
      </w:r>
      <w:r w:rsidR="00350925">
        <w:t xml:space="preserve">chieve better integration </w:t>
      </w:r>
      <w:r>
        <w:t xml:space="preserve">and uptake of non-met GEO observations </w:t>
      </w:r>
      <w:r w:rsidR="00350925">
        <w:t>across the f</w:t>
      </w:r>
      <w:r>
        <w:t>ull range of Earth observation application</w:t>
      </w:r>
      <w:r w:rsidR="00A86579">
        <w:t>s recommendations are</w:t>
      </w:r>
      <w:r>
        <w:t xml:space="preserve">: </w:t>
      </w:r>
    </w:p>
    <w:p w:rsidR="00371B0E" w:rsidRPr="007F4CA1" w:rsidRDefault="00371B0E" w:rsidP="00371B0E">
      <w:pPr>
        <w:numPr>
          <w:ilvl w:val="0"/>
          <w:numId w:val="18"/>
        </w:numPr>
      </w:pPr>
      <w:r w:rsidRPr="00456E54">
        <w:rPr>
          <w:rFonts w:eastAsia="Cambria"/>
        </w:rPr>
        <w:t>Recognising that the existing LEO science teams constitute a valuable resource on which to build</w:t>
      </w:r>
      <w:r>
        <w:rPr>
          <w:rFonts w:eastAsia="Cambria"/>
        </w:rPr>
        <w:t xml:space="preserve"> non-met </w:t>
      </w:r>
      <w:r w:rsidRPr="00456E54">
        <w:rPr>
          <w:rFonts w:eastAsia="Cambria"/>
        </w:rPr>
        <w:t>applications from</w:t>
      </w:r>
      <w:r>
        <w:rPr>
          <w:rFonts w:eastAsia="Cambria"/>
        </w:rPr>
        <w:t xml:space="preserve"> the new GEOs, Meteorological Satellite Operators</w:t>
      </w:r>
      <w:r w:rsidRPr="00456E54">
        <w:rPr>
          <w:rFonts w:eastAsia="Cambria"/>
        </w:rPr>
        <w:t xml:space="preserve"> are encouraged to be open to arrangements by which their science and operational teams can expand their activities to the new GEOs, particularly in collaboration with partners such as the NMHSs or other operational en</w:t>
      </w:r>
      <w:r w:rsidR="00CB13DC">
        <w:rPr>
          <w:rFonts w:eastAsia="Cambria"/>
        </w:rPr>
        <w:t>vironmenta</w:t>
      </w:r>
      <w:r w:rsidR="007F4CA1">
        <w:rPr>
          <w:rFonts w:eastAsia="Cambria"/>
        </w:rPr>
        <w:t>l monitoring agencies</w:t>
      </w:r>
      <w:r w:rsidR="00CB13DC">
        <w:rPr>
          <w:rFonts w:eastAsia="Cambria"/>
        </w:rPr>
        <w:t>.</w:t>
      </w:r>
    </w:p>
    <w:p w:rsidR="007F4CA1" w:rsidRDefault="007F4CA1" w:rsidP="00371B0E">
      <w:pPr>
        <w:numPr>
          <w:ilvl w:val="0"/>
          <w:numId w:val="18"/>
        </w:numPr>
      </w:pPr>
      <w:r>
        <w:t>Space Agencies and Meteorological Satellite Operators should also engage broadly with the non-met GEO user community to foster the collaborative development and inter-comparison of advanced algorithms that may lead to a harmonization of algorithms suitable for multi-platform GEO-ring implementation.</w:t>
      </w:r>
    </w:p>
    <w:p w:rsidR="00633111" w:rsidRDefault="00CB13DC" w:rsidP="00CB13DC">
      <w:pPr>
        <w:numPr>
          <w:ilvl w:val="0"/>
          <w:numId w:val="18"/>
        </w:numPr>
      </w:pPr>
      <w:r>
        <w:t>Meteorological satellite opera</w:t>
      </w:r>
      <w:r w:rsidR="00633111">
        <w:t>tors may initially</w:t>
      </w:r>
      <w:r w:rsidR="00CE5367">
        <w:t xml:space="preserve"> progress</w:t>
      </w:r>
      <w:r>
        <w:t xml:space="preserve"> the implementation and operational delivery of </w:t>
      </w:r>
      <w:r w:rsidR="00633111">
        <w:t xml:space="preserve">key non-met </w:t>
      </w:r>
      <w:r>
        <w:t>geophysical products such as Land Surface Reflectance (LSR) and Ocean Colour Radiometry (OCR) e.g. water-leaving radiance</w:t>
      </w:r>
      <w:r w:rsidR="00633111">
        <w:t xml:space="preserve">, which enable the development of higher-level non-met products for various terrestrial and </w:t>
      </w:r>
      <w:r w:rsidR="00CE5367">
        <w:t>oceanic applications addressing many societal benefit areas.</w:t>
      </w:r>
      <w:r w:rsidR="00685A22">
        <w:t xml:space="preserve"> However new products and key applications may require re-prioritisation depending on user requirements.</w:t>
      </w:r>
    </w:p>
    <w:p w:rsidR="00CF0C2D" w:rsidRDefault="009A3FD5" w:rsidP="007F4CA1">
      <w:pPr>
        <w:numPr>
          <w:ilvl w:val="0"/>
          <w:numId w:val="18"/>
        </w:numPr>
      </w:pPr>
      <w:r>
        <w:lastRenderedPageBreak/>
        <w:t>A high-level of i</w:t>
      </w:r>
      <w:r w:rsidR="00633111">
        <w:t>nter-agency coordination and a strong engagement in various calibration initiatives, with various calibration approaches,</w:t>
      </w:r>
      <w:r>
        <w:t xml:space="preserve"> </w:t>
      </w:r>
      <w:r w:rsidR="001C1506">
        <w:t>like GSCIS and the CEOS WGCV is</w:t>
      </w:r>
      <w:r w:rsidR="00A53DB2">
        <w:t xml:space="preserve"> required to achieve product consistency</w:t>
      </w:r>
      <w:r w:rsidR="00633111">
        <w:t xml:space="preserve"> </w:t>
      </w:r>
      <w:r w:rsidR="00A53DB2">
        <w:t xml:space="preserve">derived </w:t>
      </w:r>
      <w:r w:rsidR="00633111">
        <w:t>from a constellation of GEO imagers (G</w:t>
      </w:r>
      <w:r w:rsidR="00843968">
        <w:t>EO-ring)</w:t>
      </w:r>
      <w:r w:rsidR="004E3E89">
        <w:t xml:space="preserve"> to advance</w:t>
      </w:r>
      <w:r w:rsidR="008C17B5">
        <w:t xml:space="preserve"> </w:t>
      </w:r>
      <w:r w:rsidR="004E3E89">
        <w:t xml:space="preserve">quasi-global coverage of </w:t>
      </w:r>
      <w:r>
        <w:t xml:space="preserve">multi-sensor </w:t>
      </w:r>
      <w:r w:rsidR="004E3E89">
        <w:t xml:space="preserve">merged </w:t>
      </w:r>
      <w:r w:rsidR="00843968">
        <w:t>products.</w:t>
      </w:r>
    </w:p>
    <w:p w:rsidR="00456E54" w:rsidRDefault="00036CEF" w:rsidP="00456E54">
      <w:pPr>
        <w:numPr>
          <w:ilvl w:val="0"/>
          <w:numId w:val="18"/>
        </w:numPr>
      </w:pPr>
      <w:r>
        <w:t xml:space="preserve">Meteorological Satellite </w:t>
      </w:r>
      <w:r w:rsidR="001E3237">
        <w:t xml:space="preserve">Operators </w:t>
      </w:r>
      <w:r>
        <w:t xml:space="preserve">and Space Agencies </w:t>
      </w:r>
      <w:r w:rsidR="004C1FBD">
        <w:t>should</w:t>
      </w:r>
      <w:r w:rsidR="00EF62FE">
        <w:t xml:space="preserve"> </w:t>
      </w:r>
      <w:r w:rsidR="004C1FBD">
        <w:t>promote</w:t>
      </w:r>
      <w:r w:rsidR="00EF62FE">
        <w:t xml:space="preserve"> </w:t>
      </w:r>
      <w:r w:rsidR="0090392E">
        <w:t>non-met</w:t>
      </w:r>
      <w:r w:rsidR="004C1FBD">
        <w:t xml:space="preserve"> GEO products widely and include</w:t>
      </w:r>
      <w:r w:rsidR="00EF62FE">
        <w:t xml:space="preserve"> </w:t>
      </w:r>
      <w:r w:rsidR="004C1FBD">
        <w:t xml:space="preserve">these applications </w:t>
      </w:r>
      <w:r w:rsidR="00EF62FE">
        <w:t xml:space="preserve">into </w:t>
      </w:r>
      <w:r w:rsidR="004C1FBD">
        <w:t xml:space="preserve">the </w:t>
      </w:r>
      <w:r w:rsidR="00EF62FE">
        <w:t xml:space="preserve">training requirements </w:t>
      </w:r>
      <w:r w:rsidR="004C1FBD">
        <w:t xml:space="preserve">for the user community </w:t>
      </w:r>
      <w:r w:rsidR="00EF62FE">
        <w:t xml:space="preserve">such as SATURN, EUMETRAIN and </w:t>
      </w:r>
      <w:r w:rsidR="004C1FBD">
        <w:t>WMO-CGMS-VLab.</w:t>
      </w:r>
    </w:p>
    <w:p w:rsidR="00E32BFB" w:rsidRDefault="008B18D7" w:rsidP="00E32BFB">
      <w:pPr>
        <w:numPr>
          <w:ilvl w:val="0"/>
          <w:numId w:val="18"/>
        </w:numPr>
      </w:pPr>
      <w:r>
        <w:t>Space a</w:t>
      </w:r>
      <w:r w:rsidR="00E32BFB">
        <w:t>gencies should directly support where possible cal/val infrastructure for validation of radiometric products such as the RadCalNet or AERONET(-OC) network including system vicarious calibration sites and foster interactions with the user community to support validation and accuracy assessments.</w:t>
      </w:r>
    </w:p>
    <w:p w:rsidR="004A11CF" w:rsidRDefault="00E32BFB" w:rsidP="008C17B5">
      <w:pPr>
        <w:numPr>
          <w:ilvl w:val="0"/>
          <w:numId w:val="18"/>
        </w:numPr>
      </w:pPr>
      <w:r>
        <w:t xml:space="preserve">In-situ validation data </w:t>
      </w:r>
      <w:r w:rsidR="007F4CA1">
        <w:t xml:space="preserve">collected by the community as well as </w:t>
      </w:r>
      <w:r>
        <w:t>and</w:t>
      </w:r>
      <w:r w:rsidR="00FF00FB">
        <w:t xml:space="preserve"> simulated </w:t>
      </w:r>
      <w:r>
        <w:t xml:space="preserve">test </w:t>
      </w:r>
      <w:r w:rsidR="00FF00FB">
        <w:t xml:space="preserve">data sets </w:t>
      </w:r>
      <w:r w:rsidR="007F4CA1">
        <w:t xml:space="preserve">should be shared openly to foster </w:t>
      </w:r>
      <w:r w:rsidR="00FF00FB">
        <w:t>a</w:t>
      </w:r>
      <w:r>
        <w:t>lgorithm development and validation</w:t>
      </w:r>
      <w:r w:rsidR="00FF00FB">
        <w:t>.</w:t>
      </w:r>
    </w:p>
    <w:p w:rsidR="00D4272F" w:rsidRDefault="001E3237" w:rsidP="008C17B5">
      <w:pPr>
        <w:numPr>
          <w:ilvl w:val="0"/>
          <w:numId w:val="18"/>
        </w:numPr>
      </w:pPr>
      <w:r>
        <w:t>Meteorological Satellite Operators and Space Agencies should t</w:t>
      </w:r>
      <w:r w:rsidR="004A11CF" w:rsidRPr="008C696C">
        <w:t>ake advantage of modern data approaches such as the CEOS AHT on Future Data Architectures to address the data volume issue.</w:t>
      </w:r>
      <w:r w:rsidR="00456E54" w:rsidRPr="00456E54">
        <w:t xml:space="preserve"> </w:t>
      </w:r>
      <w:r w:rsidR="00456E54">
        <w:t>Cost-efficient solutions for data distribution like GEONETCast should be exploited</w:t>
      </w:r>
      <w:r>
        <w:t xml:space="preserve"> as well</w:t>
      </w:r>
      <w:r w:rsidR="00456E54">
        <w:t xml:space="preserve">. </w:t>
      </w:r>
    </w:p>
    <w:p w:rsidR="00ED4E6E" w:rsidRDefault="00ED4E6E" w:rsidP="00ED4E6E">
      <w:pPr>
        <w:pStyle w:val="Heading1notnumbered"/>
      </w:pPr>
      <w:bookmarkStart w:id="83" w:name="_Toc460923855"/>
      <w:r w:rsidRPr="008D5E56">
        <w:lastRenderedPageBreak/>
        <w:t>Acknowledgments</w:t>
      </w:r>
      <w:bookmarkEnd w:id="83"/>
    </w:p>
    <w:p w:rsidR="00666B3B" w:rsidRPr="00CC2BF7" w:rsidRDefault="00C34D40" w:rsidP="009328FC">
      <w:pPr>
        <w:rPr>
          <w:color w:val="FF0000"/>
        </w:rPr>
      </w:pPr>
      <w:r w:rsidRPr="00CC2BF7">
        <w:rPr>
          <w:color w:val="FF0000"/>
        </w:rPr>
        <w:t>TBD</w:t>
      </w:r>
    </w:p>
    <w:p w:rsidR="00707997" w:rsidRDefault="00C47CD7" w:rsidP="005C1B4B">
      <w:pPr>
        <w:pStyle w:val="Heading9"/>
      </w:pPr>
      <w:bookmarkStart w:id="84" w:name="_Toc460923856"/>
      <w:r>
        <w:lastRenderedPageBreak/>
        <w:t>Glossary of acronyms</w:t>
      </w:r>
      <w:bookmarkEnd w:id="84"/>
    </w:p>
    <w:p w:rsidR="005D4C3F" w:rsidRPr="00CC2BF7" w:rsidRDefault="00CC2BF7" w:rsidP="005D4C3F">
      <w:pPr>
        <w:rPr>
          <w:color w:val="FF0000"/>
        </w:rPr>
      </w:pPr>
      <w:r w:rsidRPr="00CC2BF7">
        <w:rPr>
          <w:color w:val="FF0000"/>
        </w:rPr>
        <w:t>[Not complete – needs checking again]</w:t>
      </w:r>
    </w:p>
    <w:p w:rsidR="00CC2BF7" w:rsidRPr="005D4C3F" w:rsidRDefault="00CC2BF7" w:rsidP="005D4C3F"/>
    <w:tbl>
      <w:tblPr>
        <w:tblStyle w:val="MediumShading11"/>
        <w:tblW w:w="0" w:type="auto"/>
        <w:tblBorders>
          <w:top w:val="none" w:sz="0" w:space="0" w:color="auto"/>
          <w:left w:val="none" w:sz="0" w:space="0" w:color="auto"/>
          <w:bottom w:val="none" w:sz="0" w:space="0" w:color="auto"/>
          <w:right w:val="none" w:sz="0" w:space="0" w:color="auto"/>
          <w:insideH w:val="none" w:sz="0" w:space="0" w:color="auto"/>
        </w:tblBorders>
        <w:tblLook w:val="04A0"/>
      </w:tblPr>
      <w:tblGrid>
        <w:gridCol w:w="1526"/>
        <w:gridCol w:w="8328"/>
      </w:tblGrid>
      <w:tr w:rsidR="00107E8D" w:rsidRPr="00BB049D" w:rsidTr="00715306">
        <w:trPr>
          <w:cnfStyle w:val="100000000000"/>
        </w:trPr>
        <w:tc>
          <w:tcPr>
            <w:cnfStyle w:val="001000000000"/>
            <w:tcW w:w="1526" w:type="dxa"/>
            <w:tcBorders>
              <w:top w:val="none" w:sz="0" w:space="0" w:color="auto"/>
              <w:left w:val="none" w:sz="0" w:space="0" w:color="auto"/>
              <w:bottom w:val="none" w:sz="0" w:space="0" w:color="auto"/>
              <w:right w:val="none" w:sz="0" w:space="0" w:color="auto"/>
            </w:tcBorders>
          </w:tcPr>
          <w:p w:rsidR="00107E8D" w:rsidRPr="00BB049D" w:rsidRDefault="00107E8D" w:rsidP="00DB6369">
            <w:pPr>
              <w:spacing w:after="0"/>
              <w:jc w:val="right"/>
              <w:rPr>
                <w:b w:val="0"/>
                <w:bCs w:val="0"/>
                <w:color w:val="FFFFFF"/>
              </w:rPr>
            </w:pPr>
            <w:r w:rsidRPr="00BB049D">
              <w:rPr>
                <w:b w:val="0"/>
                <w:bCs w:val="0"/>
                <w:color w:val="FFFFFF"/>
              </w:rPr>
              <w:t>Abbreviation</w:t>
            </w:r>
          </w:p>
        </w:tc>
        <w:tc>
          <w:tcPr>
            <w:tcW w:w="8328" w:type="dxa"/>
            <w:tcBorders>
              <w:top w:val="none" w:sz="0" w:space="0" w:color="auto"/>
              <w:left w:val="none" w:sz="0" w:space="0" w:color="auto"/>
              <w:bottom w:val="none" w:sz="0" w:space="0" w:color="auto"/>
              <w:right w:val="none" w:sz="0" w:space="0" w:color="auto"/>
            </w:tcBorders>
          </w:tcPr>
          <w:p w:rsidR="00107E8D" w:rsidRPr="00BB049D" w:rsidRDefault="00107E8D" w:rsidP="00BB049D">
            <w:pPr>
              <w:spacing w:after="0"/>
              <w:jc w:val="left"/>
              <w:cnfStyle w:val="100000000000"/>
              <w:rPr>
                <w:b w:val="0"/>
                <w:bCs w:val="0"/>
                <w:color w:val="FFFFFF"/>
              </w:rPr>
            </w:pPr>
            <w:r w:rsidRPr="00BB049D">
              <w:rPr>
                <w:b w:val="0"/>
                <w:bCs w:val="0"/>
                <w:color w:val="FFFFFF"/>
              </w:rPr>
              <w:t>Description</w:t>
            </w:r>
          </w:p>
        </w:tc>
      </w:tr>
      <w:tr w:rsidR="00107E8D" w:rsidRPr="00BB049D" w:rsidTr="00715306">
        <w:trPr>
          <w:cnfStyle w:val="000000100000"/>
        </w:trPr>
        <w:tc>
          <w:tcPr>
            <w:cnfStyle w:val="001000000000"/>
            <w:tcW w:w="1526" w:type="dxa"/>
            <w:tcBorders>
              <w:right w:val="none" w:sz="0" w:space="0" w:color="auto"/>
            </w:tcBorders>
          </w:tcPr>
          <w:p w:rsidR="00107E8D" w:rsidRPr="00DB6369" w:rsidRDefault="00A14BB0" w:rsidP="00DB6369">
            <w:pPr>
              <w:spacing w:after="0"/>
              <w:jc w:val="right"/>
              <w:rPr>
                <w:bCs w:val="0"/>
                <w:color w:val="auto"/>
              </w:rPr>
            </w:pPr>
            <w:r>
              <w:rPr>
                <w:bCs w:val="0"/>
                <w:color w:val="auto"/>
              </w:rPr>
              <w:t>A</w:t>
            </w:r>
            <w:r w:rsidR="00D12BE8">
              <w:rPr>
                <w:bCs w:val="0"/>
                <w:color w:val="auto"/>
              </w:rPr>
              <w:t>ATSR</w:t>
            </w:r>
          </w:p>
        </w:tc>
        <w:tc>
          <w:tcPr>
            <w:tcW w:w="8328" w:type="dxa"/>
            <w:tcBorders>
              <w:left w:val="none" w:sz="0" w:space="0" w:color="auto"/>
            </w:tcBorders>
          </w:tcPr>
          <w:p w:rsidR="00107E8D" w:rsidRPr="00886EA8" w:rsidRDefault="00F77EF6" w:rsidP="00252173">
            <w:pPr>
              <w:tabs>
                <w:tab w:val="left" w:pos="978"/>
              </w:tabs>
              <w:spacing w:after="0"/>
              <w:jc w:val="left"/>
              <w:cnfStyle w:val="000000100000"/>
              <w:rPr>
                <w:color w:val="auto"/>
              </w:rPr>
            </w:pPr>
            <w:r>
              <w:rPr>
                <w:color w:val="auto"/>
              </w:rPr>
              <w:t>Advanced Along Track Scanning Radiometer</w:t>
            </w:r>
          </w:p>
        </w:tc>
      </w:tr>
      <w:tr w:rsidR="00D12BE8" w:rsidRPr="00BB049D" w:rsidTr="00715306">
        <w:trPr>
          <w:cnfStyle w:val="000000010000"/>
        </w:trPr>
        <w:tc>
          <w:tcPr>
            <w:cnfStyle w:val="001000000000"/>
            <w:tcW w:w="1526" w:type="dxa"/>
            <w:tcBorders>
              <w:right w:val="none" w:sz="0" w:space="0" w:color="auto"/>
            </w:tcBorders>
          </w:tcPr>
          <w:p w:rsidR="00D12BE8" w:rsidRPr="00DB6369" w:rsidRDefault="00D12BE8" w:rsidP="00DB6369">
            <w:pPr>
              <w:spacing w:after="0"/>
              <w:jc w:val="right"/>
              <w:rPr>
                <w:bCs w:val="0"/>
                <w:color w:val="auto"/>
              </w:rPr>
            </w:pPr>
            <w:r>
              <w:rPr>
                <w:bCs w:val="0"/>
                <w:color w:val="auto"/>
              </w:rPr>
              <w:t>ABI</w:t>
            </w:r>
          </w:p>
        </w:tc>
        <w:tc>
          <w:tcPr>
            <w:tcW w:w="8328" w:type="dxa"/>
            <w:tcBorders>
              <w:left w:val="none" w:sz="0" w:space="0" w:color="auto"/>
            </w:tcBorders>
          </w:tcPr>
          <w:p w:rsidR="00D12BE8" w:rsidRDefault="00D12BE8" w:rsidP="00252173">
            <w:pPr>
              <w:tabs>
                <w:tab w:val="left" w:pos="978"/>
              </w:tabs>
              <w:spacing w:after="0"/>
              <w:jc w:val="left"/>
              <w:cnfStyle w:val="000000010000"/>
            </w:pPr>
            <w:r>
              <w:t>Advance Baseline Imager</w:t>
            </w:r>
          </w:p>
        </w:tc>
      </w:tr>
      <w:tr w:rsidR="00DB6369" w:rsidRPr="00BB049D" w:rsidTr="00715306">
        <w:trPr>
          <w:cnfStyle w:val="000000100000"/>
        </w:trPr>
        <w:tc>
          <w:tcPr>
            <w:cnfStyle w:val="001000000000"/>
            <w:tcW w:w="1526" w:type="dxa"/>
            <w:tcBorders>
              <w:right w:val="none" w:sz="0" w:space="0" w:color="auto"/>
            </w:tcBorders>
          </w:tcPr>
          <w:p w:rsidR="00DB6369" w:rsidRPr="00DB6369" w:rsidRDefault="00DB6369" w:rsidP="00DB6369">
            <w:pPr>
              <w:spacing w:after="0"/>
              <w:jc w:val="right"/>
              <w:rPr>
                <w:bCs w:val="0"/>
                <w:color w:val="auto"/>
              </w:rPr>
            </w:pPr>
            <w:r>
              <w:rPr>
                <w:bCs w:val="0"/>
                <w:color w:val="auto"/>
              </w:rPr>
              <w:t>AC-VC</w:t>
            </w:r>
          </w:p>
        </w:tc>
        <w:tc>
          <w:tcPr>
            <w:tcW w:w="8328" w:type="dxa"/>
            <w:tcBorders>
              <w:left w:val="none" w:sz="0" w:space="0" w:color="auto"/>
            </w:tcBorders>
          </w:tcPr>
          <w:p w:rsidR="00DB6369" w:rsidRDefault="00DB6369" w:rsidP="00252173">
            <w:pPr>
              <w:tabs>
                <w:tab w:val="left" w:pos="978"/>
              </w:tabs>
              <w:spacing w:after="0"/>
              <w:jc w:val="left"/>
              <w:cnfStyle w:val="000000100000"/>
            </w:pPr>
            <w:r w:rsidRPr="009E4348">
              <w:rPr>
                <w:szCs w:val="24"/>
              </w:rPr>
              <w:t xml:space="preserve">Atmospheric Composition </w:t>
            </w:r>
            <w:r>
              <w:rPr>
                <w:szCs w:val="24"/>
              </w:rPr>
              <w:t xml:space="preserve">Virtual </w:t>
            </w:r>
            <w:r w:rsidRPr="009E4348">
              <w:rPr>
                <w:szCs w:val="24"/>
              </w:rPr>
              <w:t>Constellation</w:t>
            </w:r>
          </w:p>
        </w:tc>
      </w:tr>
      <w:tr w:rsidR="00DB6369" w:rsidRPr="00BB049D" w:rsidTr="00715306">
        <w:trPr>
          <w:cnfStyle w:val="000000010000"/>
        </w:trPr>
        <w:tc>
          <w:tcPr>
            <w:cnfStyle w:val="001000000000"/>
            <w:tcW w:w="1526" w:type="dxa"/>
            <w:tcBorders>
              <w:right w:val="none" w:sz="0" w:space="0" w:color="auto"/>
            </w:tcBorders>
          </w:tcPr>
          <w:p w:rsidR="00DB6369" w:rsidRPr="00DB6369" w:rsidRDefault="00DB6369" w:rsidP="00DB6369">
            <w:pPr>
              <w:spacing w:after="0"/>
              <w:jc w:val="right"/>
              <w:rPr>
                <w:bCs w:val="0"/>
                <w:color w:val="auto"/>
              </w:rPr>
            </w:pPr>
            <w:r>
              <w:rPr>
                <w:bCs w:val="0"/>
                <w:color w:val="auto"/>
              </w:rPr>
              <w:t>AGRI</w:t>
            </w:r>
          </w:p>
        </w:tc>
        <w:tc>
          <w:tcPr>
            <w:tcW w:w="8328" w:type="dxa"/>
            <w:tcBorders>
              <w:left w:val="none" w:sz="0" w:space="0" w:color="auto"/>
            </w:tcBorders>
          </w:tcPr>
          <w:p w:rsidR="00DB6369" w:rsidRDefault="00DB6369" w:rsidP="00252173">
            <w:pPr>
              <w:tabs>
                <w:tab w:val="left" w:pos="978"/>
              </w:tabs>
              <w:spacing w:after="0"/>
              <w:jc w:val="left"/>
              <w:cnfStyle w:val="000000010000"/>
            </w:pPr>
            <w:r w:rsidRPr="008E232E">
              <w:t>Advanced Geostationary Radiation Imager</w:t>
            </w:r>
          </w:p>
        </w:tc>
      </w:tr>
      <w:tr w:rsidR="00252173" w:rsidRPr="00BB049D" w:rsidTr="00715306">
        <w:trPr>
          <w:cnfStyle w:val="000000100000"/>
        </w:trPr>
        <w:tc>
          <w:tcPr>
            <w:cnfStyle w:val="001000000000"/>
            <w:tcW w:w="1526" w:type="dxa"/>
            <w:tcBorders>
              <w:right w:val="none" w:sz="0" w:space="0" w:color="auto"/>
            </w:tcBorders>
          </w:tcPr>
          <w:p w:rsidR="00252173" w:rsidRPr="00DB6369" w:rsidRDefault="00252173" w:rsidP="00DB6369">
            <w:pPr>
              <w:spacing w:after="0"/>
              <w:jc w:val="right"/>
              <w:rPr>
                <w:bCs w:val="0"/>
                <w:color w:val="auto"/>
              </w:rPr>
            </w:pPr>
            <w:r w:rsidRPr="00DB6369">
              <w:rPr>
                <w:bCs w:val="0"/>
                <w:color w:val="auto"/>
              </w:rPr>
              <w:t>AHI</w:t>
            </w:r>
          </w:p>
        </w:tc>
        <w:tc>
          <w:tcPr>
            <w:tcW w:w="8328" w:type="dxa"/>
            <w:tcBorders>
              <w:left w:val="none" w:sz="0" w:space="0" w:color="auto"/>
            </w:tcBorders>
          </w:tcPr>
          <w:p w:rsidR="00252173" w:rsidRPr="00886EA8" w:rsidRDefault="00252173" w:rsidP="00BB049D">
            <w:pPr>
              <w:spacing w:after="0"/>
              <w:jc w:val="left"/>
              <w:cnfStyle w:val="000000100000"/>
              <w:rPr>
                <w:color w:val="auto"/>
              </w:rPr>
            </w:pPr>
            <w:r w:rsidRPr="00621FA6">
              <w:t>Advanced Himawari Imager</w:t>
            </w:r>
          </w:p>
        </w:tc>
      </w:tr>
      <w:tr w:rsidR="00DB6369" w:rsidRPr="00BB049D" w:rsidTr="00715306">
        <w:trPr>
          <w:cnfStyle w:val="000000010000"/>
        </w:trPr>
        <w:tc>
          <w:tcPr>
            <w:cnfStyle w:val="001000000000"/>
            <w:tcW w:w="1526" w:type="dxa"/>
            <w:tcBorders>
              <w:right w:val="none" w:sz="0" w:space="0" w:color="auto"/>
            </w:tcBorders>
          </w:tcPr>
          <w:p w:rsidR="00DB6369" w:rsidRPr="00DB6369" w:rsidRDefault="00DB6369" w:rsidP="00DB6369">
            <w:pPr>
              <w:spacing w:after="0"/>
              <w:jc w:val="right"/>
              <w:rPr>
                <w:bCs w:val="0"/>
                <w:color w:val="auto"/>
              </w:rPr>
            </w:pPr>
            <w:r>
              <w:rPr>
                <w:bCs w:val="0"/>
                <w:color w:val="auto"/>
              </w:rPr>
              <w:t>AHT</w:t>
            </w:r>
          </w:p>
        </w:tc>
        <w:tc>
          <w:tcPr>
            <w:tcW w:w="8328" w:type="dxa"/>
            <w:tcBorders>
              <w:left w:val="none" w:sz="0" w:space="0" w:color="auto"/>
            </w:tcBorders>
          </w:tcPr>
          <w:p w:rsidR="00DB6369" w:rsidRPr="00621FA6" w:rsidRDefault="00DB6369" w:rsidP="00BB049D">
            <w:pPr>
              <w:spacing w:after="0"/>
              <w:jc w:val="left"/>
              <w:cnfStyle w:val="000000010000"/>
            </w:pPr>
            <w:r>
              <w:t>Ad-hoc Team</w:t>
            </w:r>
          </w:p>
        </w:tc>
      </w:tr>
      <w:tr w:rsidR="00252173" w:rsidRPr="00BB049D" w:rsidTr="00715306">
        <w:trPr>
          <w:cnfStyle w:val="000000100000"/>
        </w:trPr>
        <w:tc>
          <w:tcPr>
            <w:cnfStyle w:val="001000000000"/>
            <w:tcW w:w="1526" w:type="dxa"/>
            <w:tcBorders>
              <w:right w:val="none" w:sz="0" w:space="0" w:color="auto"/>
            </w:tcBorders>
          </w:tcPr>
          <w:p w:rsidR="00252173" w:rsidRPr="00DB6369" w:rsidRDefault="00252173" w:rsidP="00DB6369">
            <w:pPr>
              <w:spacing w:after="0"/>
              <w:jc w:val="right"/>
              <w:rPr>
                <w:bCs w:val="0"/>
                <w:color w:val="auto"/>
              </w:rPr>
            </w:pPr>
            <w:r w:rsidRPr="00DB6369">
              <w:rPr>
                <w:bCs w:val="0"/>
                <w:color w:val="auto"/>
              </w:rPr>
              <w:t>AMI</w:t>
            </w:r>
          </w:p>
        </w:tc>
        <w:tc>
          <w:tcPr>
            <w:tcW w:w="8328" w:type="dxa"/>
            <w:tcBorders>
              <w:left w:val="none" w:sz="0" w:space="0" w:color="auto"/>
            </w:tcBorders>
          </w:tcPr>
          <w:p w:rsidR="00252173" w:rsidRPr="00886EA8" w:rsidRDefault="00252173" w:rsidP="00BB049D">
            <w:pPr>
              <w:spacing w:after="0"/>
              <w:jc w:val="left"/>
              <w:cnfStyle w:val="000000100000"/>
              <w:rPr>
                <w:color w:val="auto"/>
              </w:rPr>
            </w:pPr>
            <w:r>
              <w:t>Advanced Meteorological Imager</w:t>
            </w:r>
          </w:p>
        </w:tc>
      </w:tr>
      <w:tr w:rsidR="00DB6369" w:rsidRPr="00BB049D" w:rsidTr="00715306">
        <w:trPr>
          <w:cnfStyle w:val="000000010000"/>
        </w:trPr>
        <w:tc>
          <w:tcPr>
            <w:cnfStyle w:val="001000000000"/>
            <w:tcW w:w="1526" w:type="dxa"/>
            <w:tcBorders>
              <w:right w:val="none" w:sz="0" w:space="0" w:color="auto"/>
            </w:tcBorders>
          </w:tcPr>
          <w:p w:rsidR="00DB6369" w:rsidRPr="00DB6369" w:rsidRDefault="00DB6369" w:rsidP="00DB6369">
            <w:pPr>
              <w:spacing w:after="0"/>
              <w:jc w:val="right"/>
              <w:rPr>
                <w:bCs w:val="0"/>
                <w:color w:val="auto"/>
              </w:rPr>
            </w:pPr>
            <w:r>
              <w:rPr>
                <w:bCs w:val="0"/>
                <w:color w:val="auto"/>
              </w:rPr>
              <w:t>AOD</w:t>
            </w:r>
          </w:p>
        </w:tc>
        <w:tc>
          <w:tcPr>
            <w:tcW w:w="8328" w:type="dxa"/>
            <w:tcBorders>
              <w:left w:val="none" w:sz="0" w:space="0" w:color="auto"/>
            </w:tcBorders>
          </w:tcPr>
          <w:p w:rsidR="00DB6369" w:rsidRDefault="00DB6369" w:rsidP="00BB049D">
            <w:pPr>
              <w:spacing w:after="0"/>
              <w:jc w:val="left"/>
              <w:cnfStyle w:val="000000010000"/>
              <w:rPr>
                <w:color w:val="auto"/>
              </w:rPr>
            </w:pPr>
            <w:r>
              <w:rPr>
                <w:color w:val="auto"/>
              </w:rPr>
              <w:t>Aerosol Optical Depth</w:t>
            </w:r>
          </w:p>
        </w:tc>
      </w:tr>
      <w:tr w:rsidR="00D12BE8" w:rsidRPr="00BB049D" w:rsidTr="00715306">
        <w:trPr>
          <w:cnfStyle w:val="000000100000"/>
        </w:trPr>
        <w:tc>
          <w:tcPr>
            <w:cnfStyle w:val="001000000000"/>
            <w:tcW w:w="1526" w:type="dxa"/>
            <w:tcBorders>
              <w:right w:val="none" w:sz="0" w:space="0" w:color="auto"/>
            </w:tcBorders>
          </w:tcPr>
          <w:p w:rsidR="00D12BE8" w:rsidRDefault="00D12BE8" w:rsidP="00DB6369">
            <w:pPr>
              <w:spacing w:after="0"/>
              <w:jc w:val="right"/>
              <w:rPr>
                <w:bCs w:val="0"/>
                <w:color w:val="auto"/>
              </w:rPr>
            </w:pPr>
            <w:r>
              <w:rPr>
                <w:bCs w:val="0"/>
                <w:color w:val="auto"/>
              </w:rPr>
              <w:t>AHVRR</w:t>
            </w:r>
          </w:p>
        </w:tc>
        <w:tc>
          <w:tcPr>
            <w:tcW w:w="8328" w:type="dxa"/>
            <w:tcBorders>
              <w:left w:val="none" w:sz="0" w:space="0" w:color="auto"/>
            </w:tcBorders>
          </w:tcPr>
          <w:p w:rsidR="00D12BE8" w:rsidRDefault="00F77EF6" w:rsidP="00BB049D">
            <w:pPr>
              <w:spacing w:after="0"/>
              <w:jc w:val="left"/>
              <w:cnfStyle w:val="000000100000"/>
              <w:rPr>
                <w:color w:val="auto"/>
              </w:rPr>
            </w:pPr>
            <w:r>
              <w:rPr>
                <w:color w:val="auto"/>
              </w:rPr>
              <w:t>Advanced Very High Resolution Radiometer</w:t>
            </w:r>
          </w:p>
        </w:tc>
      </w:tr>
      <w:tr w:rsidR="00D12BE8" w:rsidRPr="00BB049D" w:rsidTr="00715306">
        <w:trPr>
          <w:cnfStyle w:val="000000010000"/>
        </w:trPr>
        <w:tc>
          <w:tcPr>
            <w:cnfStyle w:val="001000000000"/>
            <w:tcW w:w="1526" w:type="dxa"/>
            <w:tcBorders>
              <w:right w:val="none" w:sz="0" w:space="0" w:color="auto"/>
            </w:tcBorders>
          </w:tcPr>
          <w:p w:rsidR="00D12BE8" w:rsidRDefault="00D12BE8" w:rsidP="00DB6369">
            <w:pPr>
              <w:spacing w:after="0"/>
              <w:jc w:val="right"/>
              <w:rPr>
                <w:bCs w:val="0"/>
                <w:color w:val="auto"/>
              </w:rPr>
            </w:pPr>
            <w:r>
              <w:rPr>
                <w:bCs w:val="0"/>
                <w:color w:val="auto"/>
              </w:rPr>
              <w:t>BRDF</w:t>
            </w:r>
          </w:p>
        </w:tc>
        <w:tc>
          <w:tcPr>
            <w:tcW w:w="8328" w:type="dxa"/>
            <w:tcBorders>
              <w:left w:val="none" w:sz="0" w:space="0" w:color="auto"/>
            </w:tcBorders>
          </w:tcPr>
          <w:p w:rsidR="00D12BE8" w:rsidRDefault="00D12BE8" w:rsidP="00BB049D">
            <w:pPr>
              <w:spacing w:after="0"/>
              <w:jc w:val="left"/>
              <w:cnfStyle w:val="000000010000"/>
              <w:rPr>
                <w:color w:val="auto"/>
              </w:rPr>
            </w:pPr>
            <w:r>
              <w:t>Bidirectional Reflectance Distribution Function</w:t>
            </w:r>
          </w:p>
        </w:tc>
      </w:tr>
      <w:tr w:rsidR="00107E8D" w:rsidRPr="00BB049D" w:rsidTr="00715306">
        <w:trPr>
          <w:cnfStyle w:val="000000100000"/>
        </w:trPr>
        <w:tc>
          <w:tcPr>
            <w:cnfStyle w:val="001000000000"/>
            <w:tcW w:w="1526" w:type="dxa"/>
            <w:tcBorders>
              <w:right w:val="none" w:sz="0" w:space="0" w:color="auto"/>
            </w:tcBorders>
          </w:tcPr>
          <w:p w:rsidR="00107E8D" w:rsidRPr="00DB6369" w:rsidRDefault="00107E8D" w:rsidP="00DB6369">
            <w:pPr>
              <w:spacing w:after="0"/>
              <w:jc w:val="right"/>
              <w:rPr>
                <w:bCs w:val="0"/>
                <w:color w:val="auto"/>
              </w:rPr>
            </w:pPr>
            <w:r w:rsidRPr="00DB6369">
              <w:rPr>
                <w:bCs w:val="0"/>
                <w:color w:val="auto"/>
              </w:rPr>
              <w:t>CEOS</w:t>
            </w:r>
          </w:p>
        </w:tc>
        <w:tc>
          <w:tcPr>
            <w:tcW w:w="8328" w:type="dxa"/>
            <w:tcBorders>
              <w:left w:val="none" w:sz="0" w:space="0" w:color="auto"/>
            </w:tcBorders>
          </w:tcPr>
          <w:p w:rsidR="00107E8D" w:rsidRPr="00886EA8" w:rsidRDefault="00F77EF6" w:rsidP="00BB049D">
            <w:pPr>
              <w:spacing w:after="0"/>
              <w:jc w:val="left"/>
              <w:cnfStyle w:val="000000100000"/>
              <w:rPr>
                <w:color w:val="auto"/>
              </w:rPr>
            </w:pPr>
            <w:r>
              <w:rPr>
                <w:color w:val="auto"/>
              </w:rPr>
              <w:t>Committee on Earth Observation Satellites</w:t>
            </w:r>
          </w:p>
        </w:tc>
      </w:tr>
      <w:tr w:rsidR="00107E8D" w:rsidRPr="00BB049D" w:rsidTr="00715306">
        <w:trPr>
          <w:cnfStyle w:val="000000010000"/>
        </w:trPr>
        <w:tc>
          <w:tcPr>
            <w:cnfStyle w:val="001000000000"/>
            <w:tcW w:w="1526" w:type="dxa"/>
            <w:tcBorders>
              <w:right w:val="none" w:sz="0" w:space="0" w:color="auto"/>
            </w:tcBorders>
          </w:tcPr>
          <w:p w:rsidR="00107E8D" w:rsidRPr="00DB6369" w:rsidRDefault="00107E8D" w:rsidP="00DB6369">
            <w:pPr>
              <w:spacing w:after="0"/>
              <w:jc w:val="right"/>
              <w:rPr>
                <w:bCs w:val="0"/>
                <w:color w:val="auto"/>
              </w:rPr>
            </w:pPr>
            <w:r w:rsidRPr="00DB6369">
              <w:rPr>
                <w:bCs w:val="0"/>
                <w:color w:val="auto"/>
              </w:rPr>
              <w:t>CGMS</w:t>
            </w:r>
          </w:p>
        </w:tc>
        <w:tc>
          <w:tcPr>
            <w:tcW w:w="8328" w:type="dxa"/>
            <w:tcBorders>
              <w:left w:val="none" w:sz="0" w:space="0" w:color="auto"/>
            </w:tcBorders>
          </w:tcPr>
          <w:p w:rsidR="00107E8D" w:rsidRPr="00886EA8" w:rsidRDefault="00F77EF6" w:rsidP="00BB049D">
            <w:pPr>
              <w:spacing w:after="0"/>
              <w:jc w:val="left"/>
              <w:cnfStyle w:val="000000010000"/>
              <w:rPr>
                <w:color w:val="auto"/>
              </w:rPr>
            </w:pPr>
            <w:r>
              <w:rPr>
                <w:color w:val="auto"/>
              </w:rPr>
              <w:t>Coordinating Group for Meteorological Satellites</w:t>
            </w:r>
          </w:p>
        </w:tc>
      </w:tr>
      <w:tr w:rsidR="00886EA8" w:rsidRPr="00BB049D" w:rsidTr="00715306">
        <w:trPr>
          <w:cnfStyle w:val="000000100000"/>
        </w:trPr>
        <w:tc>
          <w:tcPr>
            <w:cnfStyle w:val="001000000000"/>
            <w:tcW w:w="1526" w:type="dxa"/>
            <w:tcBorders>
              <w:right w:val="none" w:sz="0" w:space="0" w:color="auto"/>
            </w:tcBorders>
          </w:tcPr>
          <w:p w:rsidR="00886EA8" w:rsidRPr="00DB6369" w:rsidRDefault="00886EA8" w:rsidP="00DB6369">
            <w:pPr>
              <w:spacing w:after="0"/>
              <w:jc w:val="right"/>
              <w:rPr>
                <w:bCs w:val="0"/>
                <w:color w:val="auto"/>
              </w:rPr>
            </w:pPr>
            <w:r w:rsidRPr="00DB6369">
              <w:rPr>
                <w:bCs w:val="0"/>
                <w:color w:val="auto"/>
              </w:rPr>
              <w:t>CMA</w:t>
            </w:r>
          </w:p>
        </w:tc>
        <w:tc>
          <w:tcPr>
            <w:tcW w:w="8328" w:type="dxa"/>
            <w:tcBorders>
              <w:left w:val="none" w:sz="0" w:space="0" w:color="auto"/>
            </w:tcBorders>
          </w:tcPr>
          <w:p w:rsidR="00886EA8" w:rsidRPr="00886EA8" w:rsidRDefault="00252173" w:rsidP="00252173">
            <w:pPr>
              <w:spacing w:after="0"/>
              <w:jc w:val="left"/>
              <w:cnfStyle w:val="000000100000"/>
              <w:rPr>
                <w:color w:val="auto"/>
              </w:rPr>
            </w:pPr>
            <w:r w:rsidRPr="00621FA6">
              <w:t>Chin</w:t>
            </w:r>
            <w:r>
              <w:t>a</w:t>
            </w:r>
            <w:r w:rsidRPr="00621FA6">
              <w:t xml:space="preserve"> Meteorological </w:t>
            </w:r>
            <w:r>
              <w:t>Administration</w:t>
            </w:r>
          </w:p>
        </w:tc>
      </w:tr>
      <w:tr w:rsidR="00886EA8" w:rsidRPr="00BB049D" w:rsidTr="00715306">
        <w:trPr>
          <w:cnfStyle w:val="000000010000"/>
        </w:trPr>
        <w:tc>
          <w:tcPr>
            <w:cnfStyle w:val="001000000000"/>
            <w:tcW w:w="1526" w:type="dxa"/>
            <w:tcBorders>
              <w:right w:val="none" w:sz="0" w:space="0" w:color="auto"/>
            </w:tcBorders>
          </w:tcPr>
          <w:p w:rsidR="00886EA8" w:rsidRPr="00DB6369" w:rsidRDefault="00886EA8" w:rsidP="00DB6369">
            <w:pPr>
              <w:spacing w:after="0"/>
              <w:jc w:val="right"/>
              <w:rPr>
                <w:bCs w:val="0"/>
                <w:color w:val="auto"/>
              </w:rPr>
            </w:pPr>
            <w:r w:rsidRPr="00DB6369">
              <w:rPr>
                <w:bCs w:val="0"/>
                <w:color w:val="auto"/>
              </w:rPr>
              <w:t>COMS</w:t>
            </w:r>
          </w:p>
        </w:tc>
        <w:tc>
          <w:tcPr>
            <w:tcW w:w="8328" w:type="dxa"/>
            <w:tcBorders>
              <w:left w:val="none" w:sz="0" w:space="0" w:color="auto"/>
            </w:tcBorders>
          </w:tcPr>
          <w:p w:rsidR="00886EA8" w:rsidRPr="00886EA8" w:rsidRDefault="00886EA8" w:rsidP="00BB049D">
            <w:pPr>
              <w:spacing w:after="0"/>
              <w:jc w:val="left"/>
              <w:cnfStyle w:val="000000010000"/>
              <w:rPr>
                <w:color w:val="auto"/>
              </w:rPr>
            </w:pPr>
            <w:r w:rsidRPr="00886EA8">
              <w:rPr>
                <w:color w:val="auto"/>
              </w:rPr>
              <w:t>Communication, Ocean and Meteorological Satellite</w:t>
            </w:r>
          </w:p>
        </w:tc>
      </w:tr>
      <w:tr w:rsidR="00107E8D" w:rsidRPr="00BB049D" w:rsidTr="00715306">
        <w:trPr>
          <w:cnfStyle w:val="000000100000"/>
        </w:trPr>
        <w:tc>
          <w:tcPr>
            <w:cnfStyle w:val="001000000000"/>
            <w:tcW w:w="1526" w:type="dxa"/>
            <w:tcBorders>
              <w:right w:val="none" w:sz="0" w:space="0" w:color="auto"/>
            </w:tcBorders>
          </w:tcPr>
          <w:p w:rsidR="00107E8D" w:rsidRPr="00DB6369" w:rsidRDefault="00033F67" w:rsidP="00DB6369">
            <w:pPr>
              <w:spacing w:after="0"/>
              <w:jc w:val="right"/>
              <w:rPr>
                <w:bCs w:val="0"/>
                <w:color w:val="auto"/>
              </w:rPr>
            </w:pPr>
            <w:r w:rsidRPr="00DB6369">
              <w:rPr>
                <w:bCs w:val="0"/>
                <w:color w:val="auto"/>
              </w:rPr>
              <w:t>CSIRO</w:t>
            </w:r>
          </w:p>
        </w:tc>
        <w:tc>
          <w:tcPr>
            <w:tcW w:w="8328" w:type="dxa"/>
            <w:tcBorders>
              <w:left w:val="none" w:sz="0" w:space="0" w:color="auto"/>
            </w:tcBorders>
          </w:tcPr>
          <w:p w:rsidR="00107E8D" w:rsidRPr="00886EA8" w:rsidRDefault="00252173" w:rsidP="00BB049D">
            <w:pPr>
              <w:spacing w:after="0"/>
              <w:jc w:val="left"/>
              <w:cnfStyle w:val="000000100000"/>
              <w:rPr>
                <w:color w:val="auto"/>
              </w:rPr>
            </w:pPr>
            <w:r>
              <w:rPr>
                <w:color w:val="auto"/>
              </w:rPr>
              <w:t>Commonwealth Scientific and Industrial Research Organisation</w:t>
            </w:r>
          </w:p>
        </w:tc>
      </w:tr>
      <w:tr w:rsidR="003D7743" w:rsidRPr="005200B6" w:rsidTr="00715306">
        <w:trPr>
          <w:cnfStyle w:val="000000010000"/>
        </w:trPr>
        <w:tc>
          <w:tcPr>
            <w:cnfStyle w:val="001000000000"/>
            <w:tcW w:w="1526" w:type="dxa"/>
          </w:tcPr>
          <w:p w:rsidR="003D7743" w:rsidRPr="00DB6369" w:rsidRDefault="003D7743" w:rsidP="00DB6369">
            <w:pPr>
              <w:spacing w:after="0"/>
              <w:jc w:val="right"/>
              <w:rPr>
                <w:bCs w:val="0"/>
                <w:color w:val="auto"/>
              </w:rPr>
            </w:pPr>
            <w:r>
              <w:rPr>
                <w:bCs w:val="0"/>
                <w:color w:val="auto"/>
              </w:rPr>
              <w:t>DLR</w:t>
            </w:r>
          </w:p>
        </w:tc>
        <w:tc>
          <w:tcPr>
            <w:tcW w:w="8328" w:type="dxa"/>
          </w:tcPr>
          <w:p w:rsidR="003D7743" w:rsidRPr="005200B6" w:rsidRDefault="003D7743" w:rsidP="00BB049D">
            <w:pPr>
              <w:spacing w:after="0"/>
              <w:jc w:val="left"/>
              <w:cnfStyle w:val="000000010000"/>
              <w:rPr>
                <w:color w:val="auto"/>
                <w:lang w:val="de-DE"/>
              </w:rPr>
            </w:pPr>
            <w:r w:rsidRPr="005200B6">
              <w:rPr>
                <w:color w:val="auto"/>
                <w:lang w:val="de-DE"/>
              </w:rPr>
              <w:t>Deutsches Zentrum für Luft- und Raumfahrt</w:t>
            </w:r>
          </w:p>
        </w:tc>
      </w:tr>
      <w:tr w:rsidR="00D12BE8" w:rsidRPr="00BB049D" w:rsidTr="00715306">
        <w:trPr>
          <w:cnfStyle w:val="000000100000"/>
        </w:trPr>
        <w:tc>
          <w:tcPr>
            <w:cnfStyle w:val="001000000000"/>
            <w:tcW w:w="1526" w:type="dxa"/>
            <w:tcBorders>
              <w:right w:val="none" w:sz="0" w:space="0" w:color="auto"/>
            </w:tcBorders>
          </w:tcPr>
          <w:p w:rsidR="00D12BE8" w:rsidRPr="00DB6369" w:rsidRDefault="00D12BE8" w:rsidP="00DB6369">
            <w:pPr>
              <w:spacing w:after="0"/>
              <w:jc w:val="right"/>
              <w:rPr>
                <w:bCs w:val="0"/>
                <w:color w:val="auto"/>
              </w:rPr>
            </w:pPr>
            <w:r>
              <w:rPr>
                <w:bCs w:val="0"/>
                <w:color w:val="auto"/>
              </w:rPr>
              <w:t>DSR</w:t>
            </w:r>
          </w:p>
        </w:tc>
        <w:tc>
          <w:tcPr>
            <w:tcW w:w="8328" w:type="dxa"/>
            <w:tcBorders>
              <w:left w:val="none" w:sz="0" w:space="0" w:color="auto"/>
            </w:tcBorders>
          </w:tcPr>
          <w:p w:rsidR="00D12BE8" w:rsidRDefault="00D12BE8" w:rsidP="00BB049D">
            <w:pPr>
              <w:spacing w:after="0"/>
              <w:jc w:val="left"/>
              <w:cnfStyle w:val="000000100000"/>
              <w:rPr>
                <w:color w:val="auto"/>
              </w:rPr>
            </w:pPr>
            <w:r>
              <w:rPr>
                <w:color w:val="auto"/>
              </w:rPr>
              <w:t>Downward Shortwave Radiation</w:t>
            </w:r>
          </w:p>
        </w:tc>
      </w:tr>
      <w:tr w:rsidR="00886EA8" w:rsidRPr="00BB049D" w:rsidTr="00715306">
        <w:trPr>
          <w:cnfStyle w:val="000000010000"/>
        </w:trPr>
        <w:tc>
          <w:tcPr>
            <w:cnfStyle w:val="001000000000"/>
            <w:tcW w:w="1526" w:type="dxa"/>
            <w:tcBorders>
              <w:right w:val="none" w:sz="0" w:space="0" w:color="auto"/>
            </w:tcBorders>
          </w:tcPr>
          <w:p w:rsidR="00886EA8" w:rsidRPr="00DB6369" w:rsidRDefault="00886EA8" w:rsidP="00DB6369">
            <w:pPr>
              <w:spacing w:after="0"/>
              <w:jc w:val="right"/>
              <w:rPr>
                <w:bCs w:val="0"/>
                <w:color w:val="auto"/>
              </w:rPr>
            </w:pPr>
            <w:r w:rsidRPr="00DB6369">
              <w:rPr>
                <w:bCs w:val="0"/>
                <w:color w:val="auto"/>
              </w:rPr>
              <w:t>EO</w:t>
            </w:r>
          </w:p>
        </w:tc>
        <w:tc>
          <w:tcPr>
            <w:tcW w:w="8328" w:type="dxa"/>
            <w:tcBorders>
              <w:left w:val="none" w:sz="0" w:space="0" w:color="auto"/>
            </w:tcBorders>
          </w:tcPr>
          <w:p w:rsidR="00886EA8" w:rsidRPr="00886EA8" w:rsidRDefault="00886EA8" w:rsidP="00BB049D">
            <w:pPr>
              <w:spacing w:after="0"/>
              <w:jc w:val="left"/>
              <w:cnfStyle w:val="000000010000"/>
              <w:rPr>
                <w:color w:val="auto"/>
              </w:rPr>
            </w:pPr>
            <w:r>
              <w:rPr>
                <w:color w:val="auto"/>
              </w:rPr>
              <w:t>Earth Observation</w:t>
            </w:r>
          </w:p>
        </w:tc>
      </w:tr>
      <w:tr w:rsidR="00252173" w:rsidRPr="00BB049D" w:rsidTr="00715306">
        <w:trPr>
          <w:cnfStyle w:val="000000100000"/>
        </w:trPr>
        <w:tc>
          <w:tcPr>
            <w:cnfStyle w:val="001000000000"/>
            <w:tcW w:w="1526" w:type="dxa"/>
            <w:tcBorders>
              <w:right w:val="none" w:sz="0" w:space="0" w:color="auto"/>
            </w:tcBorders>
          </w:tcPr>
          <w:p w:rsidR="00252173" w:rsidRPr="00DB6369" w:rsidRDefault="00252173" w:rsidP="00DB6369">
            <w:pPr>
              <w:spacing w:after="0"/>
              <w:jc w:val="right"/>
              <w:rPr>
                <w:bCs w:val="0"/>
                <w:color w:val="auto"/>
              </w:rPr>
            </w:pPr>
            <w:r w:rsidRPr="00DB6369">
              <w:rPr>
                <w:bCs w:val="0"/>
                <w:color w:val="auto"/>
              </w:rPr>
              <w:t>ESA</w:t>
            </w:r>
          </w:p>
        </w:tc>
        <w:tc>
          <w:tcPr>
            <w:tcW w:w="8328" w:type="dxa"/>
            <w:tcBorders>
              <w:left w:val="none" w:sz="0" w:space="0" w:color="auto"/>
            </w:tcBorders>
          </w:tcPr>
          <w:p w:rsidR="00252173" w:rsidRDefault="00252173" w:rsidP="00BB049D">
            <w:pPr>
              <w:spacing w:after="0"/>
              <w:jc w:val="left"/>
              <w:cnfStyle w:val="000000100000"/>
              <w:rPr>
                <w:color w:val="auto"/>
              </w:rPr>
            </w:pPr>
            <w:r>
              <w:rPr>
                <w:color w:val="auto"/>
              </w:rPr>
              <w:t>European Space Agency</w:t>
            </w:r>
          </w:p>
        </w:tc>
      </w:tr>
      <w:tr w:rsidR="00252173" w:rsidRPr="00BB049D" w:rsidTr="00715306">
        <w:trPr>
          <w:cnfStyle w:val="000000010000"/>
        </w:trPr>
        <w:tc>
          <w:tcPr>
            <w:cnfStyle w:val="001000000000"/>
            <w:tcW w:w="1526" w:type="dxa"/>
            <w:tcBorders>
              <w:right w:val="none" w:sz="0" w:space="0" w:color="auto"/>
            </w:tcBorders>
          </w:tcPr>
          <w:p w:rsidR="00252173" w:rsidRPr="00DB6369" w:rsidRDefault="00252173" w:rsidP="00DB6369">
            <w:pPr>
              <w:spacing w:after="0"/>
              <w:jc w:val="right"/>
              <w:rPr>
                <w:bCs w:val="0"/>
                <w:color w:val="auto"/>
              </w:rPr>
            </w:pPr>
            <w:r w:rsidRPr="00DB6369">
              <w:rPr>
                <w:bCs w:val="0"/>
                <w:color w:val="auto"/>
              </w:rPr>
              <w:t>FCI</w:t>
            </w:r>
          </w:p>
        </w:tc>
        <w:tc>
          <w:tcPr>
            <w:tcW w:w="8328" w:type="dxa"/>
            <w:tcBorders>
              <w:left w:val="none" w:sz="0" w:space="0" w:color="auto"/>
            </w:tcBorders>
          </w:tcPr>
          <w:p w:rsidR="00252173" w:rsidRDefault="00252173" w:rsidP="00BB049D">
            <w:pPr>
              <w:spacing w:after="0"/>
              <w:jc w:val="left"/>
              <w:cnfStyle w:val="000000010000"/>
              <w:rPr>
                <w:color w:val="auto"/>
              </w:rPr>
            </w:pPr>
            <w:r>
              <w:t>Flexible Combined Imager</w:t>
            </w:r>
          </w:p>
        </w:tc>
      </w:tr>
      <w:tr w:rsidR="00252173" w:rsidRPr="00BB049D" w:rsidTr="00715306">
        <w:trPr>
          <w:cnfStyle w:val="000000100000"/>
        </w:trPr>
        <w:tc>
          <w:tcPr>
            <w:cnfStyle w:val="001000000000"/>
            <w:tcW w:w="1526" w:type="dxa"/>
            <w:tcBorders>
              <w:right w:val="none" w:sz="0" w:space="0" w:color="auto"/>
            </w:tcBorders>
          </w:tcPr>
          <w:p w:rsidR="00252173" w:rsidRPr="00DB6369" w:rsidRDefault="00252173" w:rsidP="00DB6369">
            <w:pPr>
              <w:spacing w:after="0"/>
              <w:jc w:val="right"/>
              <w:rPr>
                <w:bCs w:val="0"/>
                <w:color w:val="auto"/>
              </w:rPr>
            </w:pPr>
            <w:r w:rsidRPr="00DB6369">
              <w:rPr>
                <w:bCs w:val="0"/>
                <w:color w:val="auto"/>
              </w:rPr>
              <w:t>FY-4</w:t>
            </w:r>
          </w:p>
        </w:tc>
        <w:tc>
          <w:tcPr>
            <w:tcW w:w="8328" w:type="dxa"/>
            <w:tcBorders>
              <w:left w:val="none" w:sz="0" w:space="0" w:color="auto"/>
            </w:tcBorders>
          </w:tcPr>
          <w:p w:rsidR="00252173" w:rsidRDefault="00252173" w:rsidP="00BB049D">
            <w:pPr>
              <w:spacing w:after="0"/>
              <w:jc w:val="left"/>
              <w:cnfStyle w:val="000000100000"/>
            </w:pPr>
            <w:r>
              <w:t>Feng-Yun-4</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GCOM-C</w:t>
            </w:r>
          </w:p>
        </w:tc>
        <w:tc>
          <w:tcPr>
            <w:tcW w:w="8328" w:type="dxa"/>
            <w:tcBorders>
              <w:left w:val="none" w:sz="0" w:space="0" w:color="auto"/>
            </w:tcBorders>
          </w:tcPr>
          <w:p w:rsidR="00A14BB0" w:rsidRDefault="00F77EF6" w:rsidP="00BB049D">
            <w:pPr>
              <w:spacing w:after="0"/>
              <w:jc w:val="left"/>
              <w:cnfStyle w:val="000000010000"/>
            </w:pPr>
            <w:r>
              <w:t>Global Change Observation Mission - Climate</w:t>
            </w:r>
          </w:p>
        </w:tc>
      </w:tr>
      <w:tr w:rsidR="00AF37E7" w:rsidRPr="00BB049D" w:rsidTr="00715306">
        <w:trPr>
          <w:cnfStyle w:val="000000100000"/>
        </w:trPr>
        <w:tc>
          <w:tcPr>
            <w:cnfStyle w:val="001000000000"/>
            <w:tcW w:w="1526" w:type="dxa"/>
            <w:tcBorders>
              <w:right w:val="none" w:sz="0" w:space="0" w:color="auto"/>
            </w:tcBorders>
          </w:tcPr>
          <w:p w:rsidR="00AF37E7" w:rsidRPr="00DB6369" w:rsidRDefault="00AF37E7" w:rsidP="00DB6369">
            <w:pPr>
              <w:spacing w:after="0"/>
              <w:jc w:val="right"/>
              <w:rPr>
                <w:bCs w:val="0"/>
                <w:color w:val="auto"/>
              </w:rPr>
            </w:pPr>
            <w:r>
              <w:rPr>
                <w:bCs w:val="0"/>
                <w:color w:val="auto"/>
              </w:rPr>
              <w:t>GEMS</w:t>
            </w:r>
          </w:p>
        </w:tc>
        <w:tc>
          <w:tcPr>
            <w:tcW w:w="8328" w:type="dxa"/>
            <w:tcBorders>
              <w:left w:val="none" w:sz="0" w:space="0" w:color="auto"/>
            </w:tcBorders>
          </w:tcPr>
          <w:p w:rsidR="00AF37E7" w:rsidRDefault="00AF37E7" w:rsidP="00BB049D">
            <w:pPr>
              <w:spacing w:after="0"/>
              <w:jc w:val="left"/>
              <w:cnfStyle w:val="000000100000"/>
            </w:pPr>
            <w:r>
              <w:t>Geostationary Environment Spectrometer</w:t>
            </w:r>
          </w:p>
        </w:tc>
      </w:tr>
      <w:tr w:rsidR="00107E8D" w:rsidRPr="00BB049D" w:rsidTr="00715306">
        <w:trPr>
          <w:cnfStyle w:val="000000010000"/>
        </w:trPr>
        <w:tc>
          <w:tcPr>
            <w:cnfStyle w:val="001000000000"/>
            <w:tcW w:w="1526" w:type="dxa"/>
            <w:tcBorders>
              <w:right w:val="none" w:sz="0" w:space="0" w:color="auto"/>
            </w:tcBorders>
          </w:tcPr>
          <w:p w:rsidR="00107E8D" w:rsidRPr="00DB6369" w:rsidRDefault="00886EA8" w:rsidP="00DB6369">
            <w:pPr>
              <w:spacing w:after="0"/>
              <w:jc w:val="right"/>
              <w:rPr>
                <w:bCs w:val="0"/>
                <w:color w:val="auto"/>
              </w:rPr>
            </w:pPr>
            <w:r w:rsidRPr="00DB6369">
              <w:rPr>
                <w:bCs w:val="0"/>
                <w:color w:val="auto"/>
              </w:rPr>
              <w:t>GEO</w:t>
            </w:r>
          </w:p>
        </w:tc>
        <w:tc>
          <w:tcPr>
            <w:tcW w:w="8328" w:type="dxa"/>
            <w:tcBorders>
              <w:left w:val="none" w:sz="0" w:space="0" w:color="auto"/>
            </w:tcBorders>
          </w:tcPr>
          <w:p w:rsidR="00107E8D" w:rsidRPr="00886EA8" w:rsidRDefault="00252173" w:rsidP="00BB049D">
            <w:pPr>
              <w:spacing w:after="0"/>
              <w:jc w:val="left"/>
              <w:cnfStyle w:val="000000010000"/>
              <w:rPr>
                <w:color w:val="auto"/>
              </w:rPr>
            </w:pPr>
            <w:r>
              <w:rPr>
                <w:color w:val="auto"/>
              </w:rPr>
              <w:t>Geostationary Orbit</w:t>
            </w:r>
          </w:p>
        </w:tc>
      </w:tr>
      <w:tr w:rsidR="00AF37E7" w:rsidRPr="00BB049D" w:rsidTr="00715306">
        <w:trPr>
          <w:cnfStyle w:val="000000100000"/>
        </w:trPr>
        <w:tc>
          <w:tcPr>
            <w:cnfStyle w:val="001000000000"/>
            <w:tcW w:w="1526" w:type="dxa"/>
            <w:tcBorders>
              <w:right w:val="none" w:sz="0" w:space="0" w:color="auto"/>
            </w:tcBorders>
          </w:tcPr>
          <w:p w:rsidR="00AF37E7" w:rsidRPr="00DB6369" w:rsidRDefault="00AF37E7" w:rsidP="00DB6369">
            <w:pPr>
              <w:spacing w:after="0"/>
              <w:jc w:val="right"/>
              <w:rPr>
                <w:bCs w:val="0"/>
                <w:color w:val="auto"/>
              </w:rPr>
            </w:pPr>
            <w:r>
              <w:rPr>
                <w:bCs w:val="0"/>
                <w:color w:val="auto"/>
              </w:rPr>
              <w:t>GEO-CAPE</w:t>
            </w:r>
          </w:p>
        </w:tc>
        <w:tc>
          <w:tcPr>
            <w:tcW w:w="8328" w:type="dxa"/>
            <w:tcBorders>
              <w:left w:val="none" w:sz="0" w:space="0" w:color="auto"/>
            </w:tcBorders>
          </w:tcPr>
          <w:p w:rsidR="00AF37E7" w:rsidRDefault="00AF37E7" w:rsidP="00BB049D">
            <w:pPr>
              <w:spacing w:after="0"/>
              <w:jc w:val="left"/>
              <w:cnfStyle w:val="000000100000"/>
              <w:rPr>
                <w:color w:val="auto"/>
              </w:rPr>
            </w:pPr>
            <w:r>
              <w:t>GEOstaionary Coastal Air Pollution Events</w:t>
            </w:r>
          </w:p>
        </w:tc>
      </w:tr>
      <w:tr w:rsidR="00DB6369" w:rsidRPr="00BB049D" w:rsidTr="00715306">
        <w:trPr>
          <w:cnfStyle w:val="000000010000"/>
        </w:trPr>
        <w:tc>
          <w:tcPr>
            <w:cnfStyle w:val="001000000000"/>
            <w:tcW w:w="1526" w:type="dxa"/>
            <w:tcBorders>
              <w:right w:val="none" w:sz="0" w:space="0" w:color="auto"/>
            </w:tcBorders>
          </w:tcPr>
          <w:p w:rsidR="00DB6369" w:rsidRPr="00DB6369" w:rsidRDefault="00DB6369" w:rsidP="00DB6369">
            <w:pPr>
              <w:spacing w:after="0"/>
              <w:jc w:val="right"/>
              <w:rPr>
                <w:bCs w:val="0"/>
                <w:color w:val="auto"/>
              </w:rPr>
            </w:pPr>
            <w:r>
              <w:rPr>
                <w:bCs w:val="0"/>
                <w:color w:val="auto"/>
              </w:rPr>
              <w:t>GIIRS</w:t>
            </w:r>
          </w:p>
        </w:tc>
        <w:tc>
          <w:tcPr>
            <w:tcW w:w="8328" w:type="dxa"/>
            <w:tcBorders>
              <w:left w:val="none" w:sz="0" w:space="0" w:color="auto"/>
            </w:tcBorders>
          </w:tcPr>
          <w:p w:rsidR="00DB6369" w:rsidRDefault="00DB6369" w:rsidP="00DB6369">
            <w:pPr>
              <w:spacing w:after="0"/>
              <w:jc w:val="left"/>
              <w:cnfStyle w:val="000000010000"/>
              <w:rPr>
                <w:color w:val="auto"/>
              </w:rPr>
            </w:pPr>
            <w:r w:rsidRPr="008E232E">
              <w:t>Geostationary Interferometric Infrared Sounder</w:t>
            </w:r>
          </w:p>
        </w:tc>
      </w:tr>
      <w:tr w:rsidR="00FC1ED1" w:rsidRPr="00BB049D" w:rsidTr="00715306">
        <w:trPr>
          <w:cnfStyle w:val="000000100000"/>
        </w:trPr>
        <w:tc>
          <w:tcPr>
            <w:cnfStyle w:val="001000000000"/>
            <w:tcW w:w="1526" w:type="dxa"/>
            <w:tcBorders>
              <w:right w:val="none" w:sz="0" w:space="0" w:color="auto"/>
            </w:tcBorders>
          </w:tcPr>
          <w:p w:rsidR="00FC1ED1" w:rsidRDefault="00FC1ED1" w:rsidP="00DB6369">
            <w:pPr>
              <w:spacing w:after="0"/>
              <w:jc w:val="right"/>
              <w:rPr>
                <w:bCs w:val="0"/>
                <w:color w:val="auto"/>
              </w:rPr>
            </w:pPr>
            <w:r>
              <w:rPr>
                <w:bCs w:val="0"/>
                <w:color w:val="auto"/>
              </w:rPr>
              <w:t>GHRSST</w:t>
            </w:r>
          </w:p>
        </w:tc>
        <w:tc>
          <w:tcPr>
            <w:tcW w:w="8328" w:type="dxa"/>
            <w:tcBorders>
              <w:left w:val="none" w:sz="0" w:space="0" w:color="auto"/>
            </w:tcBorders>
          </w:tcPr>
          <w:p w:rsidR="00FC1ED1" w:rsidRPr="008E232E" w:rsidRDefault="00FC1ED1" w:rsidP="00DB6369">
            <w:pPr>
              <w:spacing w:after="0"/>
              <w:jc w:val="left"/>
              <w:cnfStyle w:val="000000100000"/>
            </w:pPr>
            <w:r w:rsidRPr="00996A79">
              <w:rPr>
                <w:rFonts w:eastAsia="Times New Roman"/>
                <w:lang w:val="en-GB" w:eastAsia="en-GB"/>
              </w:rPr>
              <w:t>Group for High Resolution SST</w:t>
            </w:r>
          </w:p>
        </w:tc>
      </w:tr>
      <w:tr w:rsidR="00AF37E7" w:rsidRPr="00BB049D" w:rsidTr="00715306">
        <w:trPr>
          <w:cnfStyle w:val="000000010000"/>
        </w:trPr>
        <w:tc>
          <w:tcPr>
            <w:cnfStyle w:val="001000000000"/>
            <w:tcW w:w="1526" w:type="dxa"/>
            <w:tcBorders>
              <w:right w:val="none" w:sz="0" w:space="0" w:color="auto"/>
            </w:tcBorders>
          </w:tcPr>
          <w:p w:rsidR="00AF37E7" w:rsidRDefault="00AF37E7" w:rsidP="00DB6369">
            <w:pPr>
              <w:spacing w:after="0"/>
              <w:jc w:val="right"/>
              <w:rPr>
                <w:bCs w:val="0"/>
                <w:color w:val="auto"/>
              </w:rPr>
            </w:pPr>
            <w:r>
              <w:rPr>
                <w:bCs w:val="0"/>
                <w:color w:val="auto"/>
              </w:rPr>
              <w:t>GOCI</w:t>
            </w:r>
          </w:p>
        </w:tc>
        <w:tc>
          <w:tcPr>
            <w:tcW w:w="8328" w:type="dxa"/>
            <w:tcBorders>
              <w:left w:val="none" w:sz="0" w:space="0" w:color="auto"/>
            </w:tcBorders>
          </w:tcPr>
          <w:p w:rsidR="00AF37E7" w:rsidRPr="008E232E" w:rsidRDefault="00AF37E7" w:rsidP="00DB6369">
            <w:pPr>
              <w:spacing w:after="0"/>
              <w:jc w:val="left"/>
              <w:cnfStyle w:val="000000010000"/>
            </w:pPr>
            <w:r>
              <w:t>Geostationary Ocean Color Imager</w:t>
            </w:r>
          </w:p>
        </w:tc>
      </w:tr>
      <w:tr w:rsidR="00886EA8" w:rsidRPr="00BB049D" w:rsidTr="00715306">
        <w:trPr>
          <w:cnfStyle w:val="000000100000"/>
        </w:trPr>
        <w:tc>
          <w:tcPr>
            <w:cnfStyle w:val="001000000000"/>
            <w:tcW w:w="1526" w:type="dxa"/>
            <w:tcBorders>
              <w:right w:val="none" w:sz="0" w:space="0" w:color="auto"/>
            </w:tcBorders>
          </w:tcPr>
          <w:p w:rsidR="00886EA8" w:rsidRPr="00DB6369" w:rsidRDefault="00252173" w:rsidP="00DB6369">
            <w:pPr>
              <w:spacing w:after="0"/>
              <w:jc w:val="right"/>
              <w:rPr>
                <w:bCs w:val="0"/>
                <w:color w:val="auto"/>
              </w:rPr>
            </w:pPr>
            <w:r w:rsidRPr="00DB6369">
              <w:rPr>
                <w:bCs w:val="0"/>
                <w:color w:val="auto"/>
              </w:rPr>
              <w:t>GOES</w:t>
            </w:r>
          </w:p>
        </w:tc>
        <w:tc>
          <w:tcPr>
            <w:tcW w:w="8328" w:type="dxa"/>
            <w:tcBorders>
              <w:left w:val="none" w:sz="0" w:space="0" w:color="auto"/>
            </w:tcBorders>
          </w:tcPr>
          <w:p w:rsidR="00886EA8" w:rsidRPr="00886EA8" w:rsidRDefault="00252173" w:rsidP="00BB049D">
            <w:pPr>
              <w:spacing w:after="0"/>
              <w:jc w:val="left"/>
              <w:cnfStyle w:val="000000100000"/>
              <w:rPr>
                <w:color w:val="auto"/>
              </w:rPr>
            </w:pPr>
            <w:r w:rsidRPr="00621FA6">
              <w:t>Geostationary Operational Environmental Satellite</w:t>
            </w:r>
          </w:p>
        </w:tc>
      </w:tr>
      <w:tr w:rsidR="003B088B" w:rsidRPr="00BB049D" w:rsidTr="00715306">
        <w:trPr>
          <w:cnfStyle w:val="000000010000"/>
        </w:trPr>
        <w:tc>
          <w:tcPr>
            <w:cnfStyle w:val="001000000000"/>
            <w:tcW w:w="1526" w:type="dxa"/>
          </w:tcPr>
          <w:p w:rsidR="003B088B" w:rsidRPr="00DB6369" w:rsidRDefault="003B088B" w:rsidP="00DB6369">
            <w:pPr>
              <w:spacing w:after="0"/>
              <w:jc w:val="right"/>
              <w:rPr>
                <w:bCs w:val="0"/>
                <w:color w:val="auto"/>
              </w:rPr>
            </w:pPr>
            <w:r>
              <w:rPr>
                <w:bCs w:val="0"/>
                <w:color w:val="auto"/>
              </w:rPr>
              <w:t>GOME</w:t>
            </w:r>
          </w:p>
        </w:tc>
        <w:tc>
          <w:tcPr>
            <w:tcW w:w="8328" w:type="dxa"/>
          </w:tcPr>
          <w:p w:rsidR="003B088B" w:rsidRPr="00621FA6" w:rsidRDefault="003B088B" w:rsidP="00BB049D">
            <w:pPr>
              <w:spacing w:after="0"/>
              <w:jc w:val="left"/>
              <w:cnfStyle w:val="000000010000"/>
            </w:pPr>
            <w:r>
              <w:t>Global</w:t>
            </w:r>
            <w:r>
              <w:rPr>
                <w:spacing w:val="37"/>
              </w:rPr>
              <w:t xml:space="preserve"> </w:t>
            </w:r>
            <w:r>
              <w:t>Ozone</w:t>
            </w:r>
            <w:r>
              <w:rPr>
                <w:spacing w:val="36"/>
              </w:rPr>
              <w:t xml:space="preserve"> </w:t>
            </w:r>
            <w:r>
              <w:t>Monitoring</w:t>
            </w:r>
            <w:r>
              <w:rPr>
                <w:spacing w:val="25"/>
                <w:w w:val="99"/>
              </w:rPr>
              <w:t xml:space="preserve"> </w:t>
            </w:r>
            <w:r>
              <w:rPr>
                <w:spacing w:val="-1"/>
              </w:rPr>
              <w:t>Experiment</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GSICS</w:t>
            </w:r>
          </w:p>
        </w:tc>
        <w:tc>
          <w:tcPr>
            <w:tcW w:w="8328" w:type="dxa"/>
            <w:tcBorders>
              <w:left w:val="none" w:sz="0" w:space="0" w:color="auto"/>
            </w:tcBorders>
          </w:tcPr>
          <w:p w:rsidR="00A14BB0" w:rsidRPr="00886EA8" w:rsidRDefault="00A14BB0" w:rsidP="00F77EF6">
            <w:pPr>
              <w:spacing w:after="0"/>
              <w:jc w:val="left"/>
              <w:cnfStyle w:val="000000100000"/>
              <w:rPr>
                <w:color w:val="auto"/>
              </w:rPr>
            </w:pPr>
            <w:r>
              <w:rPr>
                <w:color w:val="auto"/>
              </w:rPr>
              <w:t>Global Space-based Inter-Calibration System</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HRIT</w:t>
            </w:r>
          </w:p>
        </w:tc>
        <w:tc>
          <w:tcPr>
            <w:tcW w:w="8328" w:type="dxa"/>
            <w:tcBorders>
              <w:left w:val="none" w:sz="0" w:space="0" w:color="auto"/>
            </w:tcBorders>
          </w:tcPr>
          <w:p w:rsidR="00A14BB0" w:rsidRPr="00621FA6" w:rsidRDefault="00A14BB0" w:rsidP="00BB049D">
            <w:pPr>
              <w:spacing w:after="0"/>
              <w:jc w:val="left"/>
              <w:cnfStyle w:val="000000010000"/>
            </w:pPr>
            <w:r>
              <w:t>High-rate Information Transmission</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HSD</w:t>
            </w:r>
          </w:p>
        </w:tc>
        <w:tc>
          <w:tcPr>
            <w:tcW w:w="8328" w:type="dxa"/>
            <w:tcBorders>
              <w:left w:val="none" w:sz="0" w:space="0" w:color="auto"/>
            </w:tcBorders>
          </w:tcPr>
          <w:p w:rsidR="00A14BB0" w:rsidRDefault="00A14BB0" w:rsidP="00DB6369">
            <w:pPr>
              <w:tabs>
                <w:tab w:val="left" w:pos="1633"/>
              </w:tabs>
              <w:spacing w:after="0"/>
              <w:jc w:val="left"/>
              <w:cnfStyle w:val="000000100000"/>
            </w:pPr>
            <w:r>
              <w:t>Himawari Standard Data</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INSAT</w:t>
            </w:r>
          </w:p>
        </w:tc>
        <w:tc>
          <w:tcPr>
            <w:tcW w:w="8328" w:type="dxa"/>
            <w:tcBorders>
              <w:left w:val="none" w:sz="0" w:space="0" w:color="auto"/>
            </w:tcBorders>
          </w:tcPr>
          <w:p w:rsidR="00A14BB0" w:rsidRPr="00621FA6" w:rsidRDefault="00A14BB0" w:rsidP="00BB049D">
            <w:pPr>
              <w:spacing w:after="0"/>
              <w:jc w:val="left"/>
              <w:cnfStyle w:val="000000010000"/>
            </w:pPr>
            <w:r>
              <w:t>I</w:t>
            </w:r>
            <w:r w:rsidRPr="00621FA6">
              <w:t>ndian National Satellite</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IRS</w:t>
            </w:r>
          </w:p>
        </w:tc>
        <w:tc>
          <w:tcPr>
            <w:tcW w:w="8328" w:type="dxa"/>
            <w:tcBorders>
              <w:left w:val="none" w:sz="0" w:space="0" w:color="auto"/>
            </w:tcBorders>
          </w:tcPr>
          <w:p w:rsidR="00A14BB0" w:rsidRDefault="00A14BB0" w:rsidP="00BB049D">
            <w:pPr>
              <w:spacing w:after="0"/>
              <w:jc w:val="left"/>
              <w:cnfStyle w:val="000000100000"/>
            </w:pPr>
            <w:r>
              <w:t>Infrared Sounder</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JMA</w:t>
            </w:r>
          </w:p>
        </w:tc>
        <w:tc>
          <w:tcPr>
            <w:tcW w:w="8328" w:type="dxa"/>
            <w:tcBorders>
              <w:left w:val="none" w:sz="0" w:space="0" w:color="auto"/>
            </w:tcBorders>
          </w:tcPr>
          <w:p w:rsidR="00A14BB0" w:rsidRPr="00886EA8" w:rsidRDefault="00A14BB0" w:rsidP="00BB049D">
            <w:pPr>
              <w:spacing w:after="0"/>
              <w:jc w:val="left"/>
              <w:cnfStyle w:val="000000010000"/>
              <w:rPr>
                <w:color w:val="auto"/>
              </w:rPr>
            </w:pPr>
            <w:r>
              <w:rPr>
                <w:color w:val="auto"/>
              </w:rPr>
              <w:t>Japanese Meteorological Agency</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KARI</w:t>
            </w:r>
          </w:p>
        </w:tc>
        <w:tc>
          <w:tcPr>
            <w:tcW w:w="8328" w:type="dxa"/>
            <w:tcBorders>
              <w:left w:val="none" w:sz="0" w:space="0" w:color="auto"/>
            </w:tcBorders>
          </w:tcPr>
          <w:p w:rsidR="00A14BB0" w:rsidRDefault="00A14BB0" w:rsidP="00BB049D">
            <w:pPr>
              <w:spacing w:after="0"/>
              <w:jc w:val="left"/>
              <w:cnfStyle w:val="000000100000"/>
              <w:rPr>
                <w:color w:val="auto"/>
              </w:rPr>
            </w:pPr>
            <w:r>
              <w:t>Korean Aerospace Research Institute</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KMA</w:t>
            </w:r>
          </w:p>
        </w:tc>
        <w:tc>
          <w:tcPr>
            <w:tcW w:w="8328" w:type="dxa"/>
            <w:tcBorders>
              <w:left w:val="none" w:sz="0" w:space="0" w:color="auto"/>
            </w:tcBorders>
          </w:tcPr>
          <w:p w:rsidR="00A14BB0" w:rsidRPr="00886EA8" w:rsidRDefault="00A14BB0" w:rsidP="00BB049D">
            <w:pPr>
              <w:spacing w:after="0"/>
              <w:jc w:val="left"/>
              <w:cnfStyle w:val="000000010000"/>
              <w:rPr>
                <w:color w:val="auto"/>
              </w:rPr>
            </w:pPr>
            <w:r>
              <w:t>Korea Meteorological Administration</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LEO</w:t>
            </w:r>
          </w:p>
        </w:tc>
        <w:tc>
          <w:tcPr>
            <w:tcW w:w="8328" w:type="dxa"/>
            <w:tcBorders>
              <w:left w:val="none" w:sz="0" w:space="0" w:color="auto"/>
            </w:tcBorders>
          </w:tcPr>
          <w:p w:rsidR="00A14BB0" w:rsidRPr="00886EA8" w:rsidRDefault="00A14BB0" w:rsidP="00BB049D">
            <w:pPr>
              <w:spacing w:after="0"/>
              <w:jc w:val="left"/>
              <w:cnfStyle w:val="000000100000"/>
              <w:rPr>
                <w:color w:val="auto"/>
              </w:rPr>
            </w:pPr>
            <w:r>
              <w:rPr>
                <w:color w:val="auto"/>
              </w:rPr>
              <w:t>Low Earth Orbiting</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LMI</w:t>
            </w:r>
          </w:p>
        </w:tc>
        <w:tc>
          <w:tcPr>
            <w:tcW w:w="8328" w:type="dxa"/>
            <w:tcBorders>
              <w:left w:val="none" w:sz="0" w:space="0" w:color="auto"/>
            </w:tcBorders>
          </w:tcPr>
          <w:p w:rsidR="00A14BB0" w:rsidRDefault="00A14BB0" w:rsidP="00BB049D">
            <w:pPr>
              <w:spacing w:after="0"/>
              <w:jc w:val="left"/>
              <w:cnfStyle w:val="000000010000"/>
              <w:rPr>
                <w:color w:val="auto"/>
              </w:rPr>
            </w:pPr>
            <w:r w:rsidRPr="008E232E">
              <w:t>Lightning Mapping Imager</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LRIT</w:t>
            </w:r>
          </w:p>
        </w:tc>
        <w:tc>
          <w:tcPr>
            <w:tcW w:w="8328" w:type="dxa"/>
            <w:tcBorders>
              <w:left w:val="none" w:sz="0" w:space="0" w:color="auto"/>
            </w:tcBorders>
          </w:tcPr>
          <w:p w:rsidR="00A14BB0" w:rsidRDefault="00A14BB0" w:rsidP="00BB049D">
            <w:pPr>
              <w:spacing w:after="0"/>
              <w:jc w:val="left"/>
              <w:cnfStyle w:val="000000100000"/>
              <w:rPr>
                <w:color w:val="auto"/>
              </w:rPr>
            </w:pPr>
            <w:r>
              <w:rPr>
                <w:color w:val="auto"/>
              </w:rPr>
              <w:t>Low Rate Information Transmission</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LST</w:t>
            </w:r>
          </w:p>
        </w:tc>
        <w:tc>
          <w:tcPr>
            <w:tcW w:w="8328" w:type="dxa"/>
            <w:tcBorders>
              <w:left w:val="none" w:sz="0" w:space="0" w:color="auto"/>
            </w:tcBorders>
          </w:tcPr>
          <w:p w:rsidR="00A14BB0" w:rsidRDefault="00A14BB0" w:rsidP="00BB049D">
            <w:pPr>
              <w:spacing w:after="0"/>
              <w:jc w:val="left"/>
              <w:cnfStyle w:val="000000010000"/>
              <w:rPr>
                <w:color w:val="auto"/>
              </w:rPr>
            </w:pPr>
            <w:r>
              <w:rPr>
                <w:color w:val="auto"/>
              </w:rPr>
              <w:t>Land Surface Temperature</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NASA</w:t>
            </w:r>
          </w:p>
        </w:tc>
        <w:tc>
          <w:tcPr>
            <w:tcW w:w="8328" w:type="dxa"/>
            <w:tcBorders>
              <w:left w:val="none" w:sz="0" w:space="0" w:color="auto"/>
            </w:tcBorders>
          </w:tcPr>
          <w:p w:rsidR="00A14BB0" w:rsidRDefault="00A14BB0" w:rsidP="00AF37E7">
            <w:pPr>
              <w:spacing w:after="0"/>
              <w:jc w:val="left"/>
              <w:cnfStyle w:val="000000100000"/>
              <w:rPr>
                <w:color w:val="auto"/>
              </w:rPr>
            </w:pPr>
            <w:r>
              <w:t>National Aeronautics and Space Administration</w:t>
            </w:r>
          </w:p>
        </w:tc>
      </w:tr>
      <w:tr w:rsidR="00A14BB0" w:rsidRPr="00BB049D" w:rsidTr="00715306">
        <w:trPr>
          <w:cnfStyle w:val="000000010000"/>
        </w:trPr>
        <w:tc>
          <w:tcPr>
            <w:cnfStyle w:val="001000000000"/>
            <w:tcW w:w="1526" w:type="dxa"/>
            <w:tcBorders>
              <w:right w:val="none" w:sz="0" w:space="0" w:color="auto"/>
            </w:tcBorders>
          </w:tcPr>
          <w:p w:rsidR="00A14BB0" w:rsidRDefault="00A14BB0" w:rsidP="00DB6369">
            <w:pPr>
              <w:spacing w:after="0"/>
              <w:jc w:val="right"/>
              <w:rPr>
                <w:bCs w:val="0"/>
                <w:color w:val="auto"/>
              </w:rPr>
            </w:pPr>
            <w:r>
              <w:rPr>
                <w:bCs w:val="0"/>
                <w:color w:val="auto"/>
              </w:rPr>
              <w:t>NDVI</w:t>
            </w:r>
          </w:p>
        </w:tc>
        <w:tc>
          <w:tcPr>
            <w:tcW w:w="8328" w:type="dxa"/>
            <w:tcBorders>
              <w:left w:val="none" w:sz="0" w:space="0" w:color="auto"/>
            </w:tcBorders>
          </w:tcPr>
          <w:p w:rsidR="00A14BB0" w:rsidRDefault="00A14BB0" w:rsidP="00AF37E7">
            <w:pPr>
              <w:spacing w:after="0"/>
              <w:jc w:val="left"/>
              <w:cnfStyle w:val="000000010000"/>
            </w:pPr>
            <w:r w:rsidRPr="00996A79">
              <w:rPr>
                <w:lang w:val="en-GB"/>
              </w:rPr>
              <w:t>Normalized Difference Vegetation Index</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lastRenderedPageBreak/>
              <w:t>NMA</w:t>
            </w:r>
          </w:p>
        </w:tc>
        <w:tc>
          <w:tcPr>
            <w:tcW w:w="8328" w:type="dxa"/>
            <w:tcBorders>
              <w:left w:val="none" w:sz="0" w:space="0" w:color="auto"/>
            </w:tcBorders>
          </w:tcPr>
          <w:p w:rsidR="00A14BB0" w:rsidRPr="00886EA8" w:rsidRDefault="00A14BB0" w:rsidP="00BB049D">
            <w:pPr>
              <w:spacing w:after="0"/>
              <w:jc w:val="left"/>
              <w:cnfStyle w:val="000000100000"/>
              <w:rPr>
                <w:color w:val="auto"/>
              </w:rPr>
            </w:pPr>
            <w:r>
              <w:rPr>
                <w:color w:val="auto"/>
              </w:rPr>
              <w:t>Non-Meteorological Application</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NMHS</w:t>
            </w:r>
          </w:p>
        </w:tc>
        <w:tc>
          <w:tcPr>
            <w:tcW w:w="8328" w:type="dxa"/>
            <w:tcBorders>
              <w:left w:val="none" w:sz="0" w:space="0" w:color="auto"/>
            </w:tcBorders>
          </w:tcPr>
          <w:p w:rsidR="00A14BB0" w:rsidRDefault="00A14BB0" w:rsidP="00A14BB0">
            <w:pPr>
              <w:tabs>
                <w:tab w:val="left" w:pos="1096"/>
              </w:tabs>
              <w:spacing w:after="0"/>
              <w:jc w:val="left"/>
              <w:cnfStyle w:val="000000010000"/>
              <w:rPr>
                <w:color w:val="auto"/>
              </w:rPr>
            </w:pPr>
            <w:r>
              <w:t>National Meteorological and Hydro-meteorological Services</w:t>
            </w:r>
          </w:p>
        </w:tc>
      </w:tr>
      <w:tr w:rsidR="00E9289E" w:rsidRPr="00BB049D" w:rsidTr="00715306">
        <w:trPr>
          <w:cnfStyle w:val="000000100000"/>
        </w:trPr>
        <w:tc>
          <w:tcPr>
            <w:cnfStyle w:val="001000000000"/>
            <w:tcW w:w="1526" w:type="dxa"/>
          </w:tcPr>
          <w:p w:rsidR="00E9289E" w:rsidRDefault="00E9289E" w:rsidP="00DB6369">
            <w:pPr>
              <w:spacing w:after="0"/>
              <w:jc w:val="right"/>
              <w:rPr>
                <w:bCs w:val="0"/>
                <w:color w:val="auto"/>
              </w:rPr>
            </w:pPr>
            <w:r>
              <w:rPr>
                <w:bCs w:val="0"/>
                <w:color w:val="auto"/>
              </w:rPr>
              <w:t>NMSC</w:t>
            </w:r>
          </w:p>
        </w:tc>
        <w:tc>
          <w:tcPr>
            <w:tcW w:w="8328" w:type="dxa"/>
          </w:tcPr>
          <w:p w:rsidR="00E9289E" w:rsidRDefault="00E9289E" w:rsidP="00A14BB0">
            <w:pPr>
              <w:tabs>
                <w:tab w:val="left" w:pos="1096"/>
              </w:tabs>
              <w:spacing w:after="0"/>
              <w:jc w:val="left"/>
              <w:cnfStyle w:val="000000100000"/>
            </w:pPr>
            <w:r>
              <w:t>National Meteorological Satellite Center</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MCSI</w:t>
            </w:r>
          </w:p>
        </w:tc>
        <w:tc>
          <w:tcPr>
            <w:tcW w:w="8328" w:type="dxa"/>
            <w:tcBorders>
              <w:left w:val="none" w:sz="0" w:space="0" w:color="auto"/>
            </w:tcBorders>
          </w:tcPr>
          <w:p w:rsidR="00A14BB0" w:rsidRDefault="00A14BB0" w:rsidP="00BB049D">
            <w:pPr>
              <w:spacing w:after="0"/>
              <w:jc w:val="left"/>
              <w:cnfStyle w:val="000000010000"/>
              <w:rPr>
                <w:color w:val="auto"/>
              </w:rPr>
            </w:pPr>
            <w:r w:rsidRPr="00F926AE">
              <w:t>Multiple Channel Scanning Imager</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MISR</w:t>
            </w:r>
          </w:p>
        </w:tc>
        <w:tc>
          <w:tcPr>
            <w:tcW w:w="8328" w:type="dxa"/>
            <w:tcBorders>
              <w:left w:val="none" w:sz="0" w:space="0" w:color="auto"/>
            </w:tcBorders>
          </w:tcPr>
          <w:p w:rsidR="00A14BB0" w:rsidRPr="00F926AE" w:rsidRDefault="00715306" w:rsidP="00BB049D">
            <w:pPr>
              <w:spacing w:after="0"/>
              <w:jc w:val="left"/>
              <w:cnfStyle w:val="000000100000"/>
            </w:pPr>
            <w:r>
              <w:t>Multi-angle Imaging Spectro-Radiometer</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MODIS</w:t>
            </w:r>
          </w:p>
        </w:tc>
        <w:tc>
          <w:tcPr>
            <w:tcW w:w="8328" w:type="dxa"/>
            <w:tcBorders>
              <w:left w:val="none" w:sz="0" w:space="0" w:color="auto"/>
            </w:tcBorders>
          </w:tcPr>
          <w:p w:rsidR="00A14BB0" w:rsidRPr="00F926AE" w:rsidRDefault="00A14BB0" w:rsidP="00BB049D">
            <w:pPr>
              <w:spacing w:after="0"/>
              <w:jc w:val="left"/>
              <w:cnfStyle w:val="000000010000"/>
            </w:pPr>
            <w:r w:rsidRPr="00996A79">
              <w:rPr>
                <w:lang w:val="en-GB"/>
              </w:rPr>
              <w:t>Moderate Resolution Imaging Spectro</w:t>
            </w:r>
            <w:r w:rsidR="00715306">
              <w:rPr>
                <w:lang w:val="en-GB"/>
              </w:rPr>
              <w:t>-</w:t>
            </w:r>
            <w:r w:rsidRPr="00996A79">
              <w:rPr>
                <w:lang w:val="en-GB"/>
              </w:rPr>
              <w:t>radiometer</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MSC</w:t>
            </w:r>
          </w:p>
        </w:tc>
        <w:tc>
          <w:tcPr>
            <w:tcW w:w="8328" w:type="dxa"/>
            <w:tcBorders>
              <w:left w:val="none" w:sz="0" w:space="0" w:color="auto"/>
            </w:tcBorders>
          </w:tcPr>
          <w:p w:rsidR="00A14BB0" w:rsidRPr="00F926AE" w:rsidRDefault="00A14BB0" w:rsidP="00BB049D">
            <w:pPr>
              <w:spacing w:after="0"/>
              <w:jc w:val="left"/>
              <w:cnfStyle w:val="000000100000"/>
            </w:pPr>
            <w:r>
              <w:t>Meteorological Satellite Center</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MSG</w:t>
            </w:r>
          </w:p>
        </w:tc>
        <w:tc>
          <w:tcPr>
            <w:tcW w:w="8328" w:type="dxa"/>
            <w:tcBorders>
              <w:left w:val="none" w:sz="0" w:space="0" w:color="auto"/>
            </w:tcBorders>
          </w:tcPr>
          <w:p w:rsidR="00A14BB0" w:rsidRPr="00886EA8" w:rsidRDefault="00A14BB0" w:rsidP="00BB049D">
            <w:pPr>
              <w:spacing w:after="0"/>
              <w:jc w:val="left"/>
              <w:cnfStyle w:val="000000010000"/>
              <w:rPr>
                <w:color w:val="auto"/>
              </w:rPr>
            </w:pPr>
            <w:r>
              <w:rPr>
                <w:color w:val="auto"/>
              </w:rPr>
              <w:t>Meteosat Second Generation</w:t>
            </w:r>
          </w:p>
        </w:tc>
      </w:tr>
      <w:tr w:rsidR="00E9289E" w:rsidRPr="00BB049D" w:rsidTr="00715306">
        <w:trPr>
          <w:cnfStyle w:val="000000100000"/>
        </w:trPr>
        <w:tc>
          <w:tcPr>
            <w:cnfStyle w:val="001000000000"/>
            <w:tcW w:w="1526" w:type="dxa"/>
          </w:tcPr>
          <w:p w:rsidR="00E9289E" w:rsidRPr="00DB6369" w:rsidRDefault="00E9289E" w:rsidP="00DB6369">
            <w:pPr>
              <w:spacing w:after="0"/>
              <w:jc w:val="right"/>
              <w:rPr>
                <w:bCs w:val="0"/>
                <w:color w:val="auto"/>
              </w:rPr>
            </w:pPr>
            <w:r>
              <w:rPr>
                <w:bCs w:val="0"/>
                <w:color w:val="auto"/>
              </w:rPr>
              <w:t>MTSAT</w:t>
            </w:r>
          </w:p>
        </w:tc>
        <w:tc>
          <w:tcPr>
            <w:tcW w:w="8328" w:type="dxa"/>
          </w:tcPr>
          <w:p w:rsidR="00E9289E" w:rsidRDefault="00E9289E" w:rsidP="00BB049D">
            <w:pPr>
              <w:spacing w:after="0"/>
              <w:jc w:val="left"/>
              <w:cnfStyle w:val="000000100000"/>
              <w:rPr>
                <w:color w:val="auto"/>
              </w:rPr>
            </w:pPr>
            <w:r>
              <w:rPr>
                <w:color w:val="auto"/>
              </w:rPr>
              <w:t>Multi-functional Transport Satellite</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NIR</w:t>
            </w:r>
          </w:p>
        </w:tc>
        <w:tc>
          <w:tcPr>
            <w:tcW w:w="8328" w:type="dxa"/>
            <w:tcBorders>
              <w:left w:val="none" w:sz="0" w:space="0" w:color="auto"/>
            </w:tcBorders>
          </w:tcPr>
          <w:p w:rsidR="00A14BB0" w:rsidRDefault="00A14BB0" w:rsidP="00BB049D">
            <w:pPr>
              <w:spacing w:after="0"/>
              <w:jc w:val="left"/>
              <w:cnfStyle w:val="000000010000"/>
              <w:rPr>
                <w:color w:val="auto"/>
              </w:rPr>
            </w:pPr>
            <w:r>
              <w:rPr>
                <w:color w:val="auto"/>
              </w:rPr>
              <w:t>Near-infrared</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NOAA</w:t>
            </w:r>
          </w:p>
        </w:tc>
        <w:tc>
          <w:tcPr>
            <w:tcW w:w="8328" w:type="dxa"/>
            <w:tcBorders>
              <w:left w:val="none" w:sz="0" w:space="0" w:color="auto"/>
            </w:tcBorders>
          </w:tcPr>
          <w:p w:rsidR="00A14BB0" w:rsidRPr="00886EA8" w:rsidRDefault="00715306" w:rsidP="00BB049D">
            <w:pPr>
              <w:spacing w:after="0"/>
              <w:jc w:val="left"/>
              <w:cnfStyle w:val="000000100000"/>
              <w:rPr>
                <w:color w:val="auto"/>
              </w:rPr>
            </w:pPr>
            <w:r>
              <w:rPr>
                <w:color w:val="auto"/>
              </w:rPr>
              <w:t>National Oceanic and Atmospheric Administration</w:t>
            </w:r>
          </w:p>
        </w:tc>
      </w:tr>
      <w:tr w:rsidR="003D7743" w:rsidRPr="00BB049D" w:rsidTr="00715306">
        <w:trPr>
          <w:cnfStyle w:val="000000010000"/>
        </w:trPr>
        <w:tc>
          <w:tcPr>
            <w:cnfStyle w:val="001000000000"/>
            <w:tcW w:w="1526" w:type="dxa"/>
          </w:tcPr>
          <w:p w:rsidR="003D7743" w:rsidRPr="00DB6369" w:rsidRDefault="003D7743" w:rsidP="00DB6369">
            <w:pPr>
              <w:spacing w:after="0"/>
              <w:jc w:val="right"/>
              <w:rPr>
                <w:bCs w:val="0"/>
                <w:color w:val="auto"/>
              </w:rPr>
            </w:pPr>
            <w:r>
              <w:rPr>
                <w:bCs w:val="0"/>
                <w:color w:val="auto"/>
              </w:rPr>
              <w:t>OMI</w:t>
            </w:r>
          </w:p>
        </w:tc>
        <w:tc>
          <w:tcPr>
            <w:tcW w:w="8328" w:type="dxa"/>
          </w:tcPr>
          <w:p w:rsidR="003D7743" w:rsidRDefault="003D7743" w:rsidP="00BB049D">
            <w:pPr>
              <w:spacing w:after="0"/>
              <w:jc w:val="left"/>
              <w:cnfStyle w:val="000000010000"/>
              <w:rPr>
                <w:color w:val="auto"/>
              </w:rPr>
            </w:pPr>
            <w:r w:rsidRPr="00BF3FB0">
              <w:t>Ozone Monitoring Instrument</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PNG</w:t>
            </w:r>
          </w:p>
        </w:tc>
        <w:tc>
          <w:tcPr>
            <w:tcW w:w="8328" w:type="dxa"/>
            <w:tcBorders>
              <w:left w:val="none" w:sz="0" w:space="0" w:color="auto"/>
            </w:tcBorders>
          </w:tcPr>
          <w:p w:rsidR="00A14BB0" w:rsidRPr="00886EA8" w:rsidRDefault="00A14BB0" w:rsidP="00BB049D">
            <w:pPr>
              <w:spacing w:after="0"/>
              <w:jc w:val="left"/>
              <w:cnfStyle w:val="000000100000"/>
              <w:rPr>
                <w:color w:val="auto"/>
              </w:rPr>
            </w:pPr>
            <w:r>
              <w:t>Portable Network Graphics</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POLDER</w:t>
            </w:r>
          </w:p>
        </w:tc>
        <w:tc>
          <w:tcPr>
            <w:tcW w:w="8328" w:type="dxa"/>
            <w:tcBorders>
              <w:left w:val="none" w:sz="0" w:space="0" w:color="auto"/>
            </w:tcBorders>
          </w:tcPr>
          <w:p w:rsidR="00A14BB0" w:rsidRDefault="00715306" w:rsidP="00BB049D">
            <w:pPr>
              <w:spacing w:after="0"/>
              <w:jc w:val="left"/>
              <w:cnfStyle w:val="000000010000"/>
            </w:pPr>
            <w:r>
              <w:t>Polarisation and Directionality of the Earth’s Reflectance</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SAF</w:t>
            </w:r>
          </w:p>
        </w:tc>
        <w:tc>
          <w:tcPr>
            <w:tcW w:w="8328" w:type="dxa"/>
            <w:tcBorders>
              <w:left w:val="none" w:sz="0" w:space="0" w:color="auto"/>
            </w:tcBorders>
          </w:tcPr>
          <w:p w:rsidR="00A14BB0" w:rsidRDefault="00A14BB0" w:rsidP="00BB049D">
            <w:pPr>
              <w:spacing w:after="0"/>
              <w:jc w:val="left"/>
              <w:cnfStyle w:val="000000100000"/>
            </w:pPr>
            <w:r>
              <w:t>Satellite Application Facility</w:t>
            </w:r>
          </w:p>
        </w:tc>
      </w:tr>
      <w:tr w:rsidR="00A14BB0" w:rsidRPr="00BB049D" w:rsidTr="00715306">
        <w:trPr>
          <w:cnfStyle w:val="000000010000"/>
        </w:trPr>
        <w:tc>
          <w:tcPr>
            <w:cnfStyle w:val="001000000000"/>
            <w:tcW w:w="1526" w:type="dxa"/>
            <w:tcBorders>
              <w:right w:val="none" w:sz="0" w:space="0" w:color="auto"/>
            </w:tcBorders>
          </w:tcPr>
          <w:p w:rsidR="00A14BB0" w:rsidRDefault="00A14BB0" w:rsidP="00DB6369">
            <w:pPr>
              <w:spacing w:after="0"/>
              <w:jc w:val="right"/>
              <w:rPr>
                <w:bCs w:val="0"/>
                <w:color w:val="auto"/>
              </w:rPr>
            </w:pPr>
            <w:r>
              <w:rPr>
                <w:bCs w:val="0"/>
                <w:color w:val="auto"/>
              </w:rPr>
              <w:t>SATURN</w:t>
            </w:r>
          </w:p>
        </w:tc>
        <w:tc>
          <w:tcPr>
            <w:tcW w:w="8328" w:type="dxa"/>
            <w:tcBorders>
              <w:left w:val="none" w:sz="0" w:space="0" w:color="auto"/>
            </w:tcBorders>
          </w:tcPr>
          <w:p w:rsidR="00A14BB0" w:rsidRDefault="00A14BB0" w:rsidP="00BB049D">
            <w:pPr>
              <w:spacing w:after="0"/>
              <w:jc w:val="left"/>
              <w:cnfStyle w:val="000000010000"/>
            </w:pPr>
            <w:r>
              <w:t>Satellite User Readiness Navigator</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SBA</w:t>
            </w:r>
          </w:p>
        </w:tc>
        <w:tc>
          <w:tcPr>
            <w:tcW w:w="8328" w:type="dxa"/>
            <w:tcBorders>
              <w:left w:val="none" w:sz="0" w:space="0" w:color="auto"/>
            </w:tcBorders>
          </w:tcPr>
          <w:p w:rsidR="00A14BB0" w:rsidRDefault="00A14BB0" w:rsidP="00BB049D">
            <w:pPr>
              <w:spacing w:after="0"/>
              <w:jc w:val="left"/>
              <w:cnfStyle w:val="000000100000"/>
            </w:pPr>
            <w:r>
              <w:t>Societal Benefit Area</w:t>
            </w:r>
          </w:p>
        </w:tc>
      </w:tr>
      <w:tr w:rsidR="00A14BB0" w:rsidRPr="00BB049D" w:rsidTr="00715306">
        <w:trPr>
          <w:cnfStyle w:val="000000010000"/>
        </w:trPr>
        <w:tc>
          <w:tcPr>
            <w:cnfStyle w:val="001000000000"/>
            <w:tcW w:w="1526" w:type="dxa"/>
            <w:tcBorders>
              <w:right w:val="none" w:sz="0" w:space="0" w:color="auto"/>
            </w:tcBorders>
          </w:tcPr>
          <w:p w:rsidR="00A14BB0" w:rsidRDefault="00A14BB0" w:rsidP="00DB6369">
            <w:pPr>
              <w:spacing w:after="0"/>
              <w:jc w:val="right"/>
              <w:rPr>
                <w:bCs w:val="0"/>
                <w:color w:val="auto"/>
              </w:rPr>
            </w:pPr>
            <w:r>
              <w:rPr>
                <w:bCs w:val="0"/>
                <w:color w:val="auto"/>
              </w:rPr>
              <w:t>SCOPE-CM</w:t>
            </w:r>
          </w:p>
        </w:tc>
        <w:tc>
          <w:tcPr>
            <w:tcW w:w="8328" w:type="dxa"/>
            <w:tcBorders>
              <w:left w:val="none" w:sz="0" w:space="0" w:color="auto"/>
            </w:tcBorders>
          </w:tcPr>
          <w:p w:rsidR="00A14BB0" w:rsidRDefault="00A14BB0" w:rsidP="00BB049D">
            <w:pPr>
              <w:spacing w:after="0"/>
              <w:jc w:val="left"/>
              <w:cnfStyle w:val="000000010000"/>
            </w:pPr>
            <w:r w:rsidRPr="00996A79">
              <w:rPr>
                <w:lang w:val="en-GB"/>
              </w:rPr>
              <w:t>Sustained, Coordinated Processing of</w:t>
            </w:r>
            <w:r>
              <w:rPr>
                <w:lang w:val="en-GB"/>
              </w:rPr>
              <w:t xml:space="preserve"> </w:t>
            </w:r>
            <w:r w:rsidRPr="00996A79">
              <w:rPr>
                <w:lang w:val="en-GB"/>
              </w:rPr>
              <w:t>Environmental Satellite Data for Climate Monitoring</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SEVIRI</w:t>
            </w:r>
          </w:p>
        </w:tc>
        <w:tc>
          <w:tcPr>
            <w:tcW w:w="8328" w:type="dxa"/>
            <w:tcBorders>
              <w:left w:val="none" w:sz="0" w:space="0" w:color="auto"/>
            </w:tcBorders>
          </w:tcPr>
          <w:p w:rsidR="00A14BB0" w:rsidRPr="00886EA8" w:rsidRDefault="00A14BB0" w:rsidP="00886EA8">
            <w:pPr>
              <w:tabs>
                <w:tab w:val="left" w:pos="1193"/>
              </w:tabs>
              <w:spacing w:after="0"/>
              <w:jc w:val="left"/>
              <w:cnfStyle w:val="000000100000"/>
              <w:rPr>
                <w:color w:val="auto"/>
              </w:rPr>
            </w:pPr>
            <w:r w:rsidRPr="00621FA6">
              <w:t>Spinning Enhanced Visible and Infra-Red Imager</w:t>
            </w:r>
          </w:p>
        </w:tc>
      </w:tr>
      <w:tr w:rsidR="00A14BB0" w:rsidRPr="00AF37E7"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SCIAMACHY</w:t>
            </w:r>
          </w:p>
        </w:tc>
        <w:tc>
          <w:tcPr>
            <w:tcW w:w="8328" w:type="dxa"/>
            <w:tcBorders>
              <w:left w:val="none" w:sz="0" w:space="0" w:color="auto"/>
            </w:tcBorders>
          </w:tcPr>
          <w:p w:rsidR="00A14BB0" w:rsidRPr="00AF37E7" w:rsidRDefault="00A14BB0" w:rsidP="00BB049D">
            <w:pPr>
              <w:spacing w:after="0"/>
              <w:jc w:val="left"/>
              <w:cnfStyle w:val="000000010000"/>
              <w:rPr>
                <w:color w:val="auto"/>
              </w:rPr>
            </w:pPr>
            <w:r w:rsidRPr="00AF37E7">
              <w:rPr>
                <w:spacing w:val="-1"/>
              </w:rPr>
              <w:t>Scanning</w:t>
            </w:r>
            <w:r w:rsidRPr="00AF37E7">
              <w:rPr>
                <w:spacing w:val="10"/>
              </w:rPr>
              <w:t xml:space="preserve"> </w:t>
            </w:r>
            <w:r w:rsidRPr="00AF37E7">
              <w:rPr>
                <w:spacing w:val="-1"/>
              </w:rPr>
              <w:t>Imaging</w:t>
            </w:r>
            <w:r w:rsidRPr="00AF37E7">
              <w:rPr>
                <w:spacing w:val="11"/>
              </w:rPr>
              <w:t xml:space="preserve"> </w:t>
            </w:r>
            <w:r w:rsidRPr="00AF37E7">
              <w:t>Absorption</w:t>
            </w:r>
            <w:r w:rsidRPr="00AF37E7">
              <w:rPr>
                <w:spacing w:val="10"/>
              </w:rPr>
              <w:t xml:space="preserve"> </w:t>
            </w:r>
            <w:r w:rsidRPr="00AF37E7">
              <w:rPr>
                <w:spacing w:val="-1"/>
              </w:rPr>
              <w:t>spectrometer</w:t>
            </w:r>
            <w:r w:rsidRPr="00AF37E7">
              <w:rPr>
                <w:spacing w:val="12"/>
              </w:rPr>
              <w:t xml:space="preserve"> </w:t>
            </w:r>
            <w:r w:rsidRPr="00AF37E7">
              <w:rPr>
                <w:spacing w:val="-1"/>
              </w:rPr>
              <w:t>for</w:t>
            </w:r>
            <w:r w:rsidRPr="00AF37E7">
              <w:rPr>
                <w:spacing w:val="12"/>
              </w:rPr>
              <w:t xml:space="preserve"> </w:t>
            </w:r>
            <w:r w:rsidRPr="00AF37E7">
              <w:rPr>
                <w:spacing w:val="-1"/>
              </w:rPr>
              <w:t>Atmospheric</w:t>
            </w:r>
            <w:r w:rsidRPr="00AF37E7">
              <w:rPr>
                <w:spacing w:val="10"/>
              </w:rPr>
              <w:t xml:space="preserve"> </w:t>
            </w:r>
            <w:r w:rsidRPr="00AF37E7">
              <w:rPr>
                <w:spacing w:val="-1"/>
              </w:rPr>
              <w:t>Chartography</w:t>
            </w:r>
          </w:p>
        </w:tc>
      </w:tr>
      <w:tr w:rsidR="00A14BB0" w:rsidRPr="00AF37E7" w:rsidTr="00715306">
        <w:trPr>
          <w:cnfStyle w:val="000000100000"/>
        </w:trPr>
        <w:tc>
          <w:tcPr>
            <w:cnfStyle w:val="001000000000"/>
            <w:tcW w:w="1526" w:type="dxa"/>
            <w:tcBorders>
              <w:right w:val="none" w:sz="0" w:space="0" w:color="auto"/>
            </w:tcBorders>
          </w:tcPr>
          <w:p w:rsidR="00A14BB0" w:rsidRDefault="00A14BB0" w:rsidP="00DB6369">
            <w:pPr>
              <w:spacing w:after="0"/>
              <w:jc w:val="right"/>
              <w:rPr>
                <w:bCs w:val="0"/>
                <w:color w:val="auto"/>
              </w:rPr>
            </w:pPr>
            <w:r>
              <w:rPr>
                <w:bCs w:val="0"/>
                <w:color w:val="auto"/>
              </w:rPr>
              <w:t>SST</w:t>
            </w:r>
          </w:p>
        </w:tc>
        <w:tc>
          <w:tcPr>
            <w:tcW w:w="8328" w:type="dxa"/>
            <w:tcBorders>
              <w:left w:val="none" w:sz="0" w:space="0" w:color="auto"/>
            </w:tcBorders>
          </w:tcPr>
          <w:p w:rsidR="00A14BB0" w:rsidRPr="00AF37E7" w:rsidRDefault="00A14BB0" w:rsidP="00BB049D">
            <w:pPr>
              <w:spacing w:after="0"/>
              <w:jc w:val="left"/>
              <w:cnfStyle w:val="000000100000"/>
              <w:rPr>
                <w:spacing w:val="-1"/>
              </w:rPr>
            </w:pPr>
            <w:r>
              <w:rPr>
                <w:spacing w:val="-1"/>
              </w:rPr>
              <w:t>Sea Surface Temperature</w:t>
            </w:r>
          </w:p>
        </w:tc>
      </w:tr>
      <w:tr w:rsidR="00A14BB0" w:rsidRPr="00AF37E7" w:rsidTr="00715306">
        <w:trPr>
          <w:cnfStyle w:val="000000010000"/>
        </w:trPr>
        <w:tc>
          <w:tcPr>
            <w:cnfStyle w:val="001000000000"/>
            <w:tcW w:w="1526" w:type="dxa"/>
            <w:tcBorders>
              <w:right w:val="none" w:sz="0" w:space="0" w:color="auto"/>
            </w:tcBorders>
          </w:tcPr>
          <w:p w:rsidR="00A14BB0" w:rsidRDefault="00A14BB0" w:rsidP="00DB6369">
            <w:pPr>
              <w:spacing w:after="0"/>
              <w:jc w:val="right"/>
              <w:rPr>
                <w:bCs w:val="0"/>
                <w:color w:val="auto"/>
              </w:rPr>
            </w:pPr>
            <w:r>
              <w:rPr>
                <w:bCs w:val="0"/>
                <w:color w:val="auto"/>
              </w:rPr>
              <w:t>TSM</w:t>
            </w:r>
          </w:p>
        </w:tc>
        <w:tc>
          <w:tcPr>
            <w:tcW w:w="8328" w:type="dxa"/>
            <w:tcBorders>
              <w:left w:val="none" w:sz="0" w:space="0" w:color="auto"/>
            </w:tcBorders>
          </w:tcPr>
          <w:p w:rsidR="00A14BB0" w:rsidRDefault="00A14BB0" w:rsidP="00BB049D">
            <w:pPr>
              <w:spacing w:after="0"/>
              <w:jc w:val="left"/>
              <w:cnfStyle w:val="000000010000"/>
              <w:rPr>
                <w:spacing w:val="-1"/>
              </w:rPr>
            </w:pPr>
            <w:r>
              <w:rPr>
                <w:spacing w:val="-1"/>
              </w:rPr>
              <w:t>Total Suspended Matter</w:t>
            </w:r>
          </w:p>
        </w:tc>
      </w:tr>
      <w:tr w:rsidR="00E9289E" w:rsidRPr="00AF37E7" w:rsidTr="00715306">
        <w:trPr>
          <w:cnfStyle w:val="000000100000"/>
        </w:trPr>
        <w:tc>
          <w:tcPr>
            <w:cnfStyle w:val="001000000000"/>
            <w:tcW w:w="1526" w:type="dxa"/>
          </w:tcPr>
          <w:p w:rsidR="00E9289E" w:rsidRDefault="00E9289E" w:rsidP="00DB6369">
            <w:pPr>
              <w:spacing w:after="0"/>
              <w:jc w:val="right"/>
              <w:rPr>
                <w:bCs w:val="0"/>
                <w:color w:val="auto"/>
              </w:rPr>
            </w:pPr>
            <w:r>
              <w:rPr>
                <w:bCs w:val="0"/>
                <w:color w:val="auto"/>
              </w:rPr>
              <w:t>URL</w:t>
            </w:r>
          </w:p>
        </w:tc>
        <w:tc>
          <w:tcPr>
            <w:tcW w:w="8328" w:type="dxa"/>
          </w:tcPr>
          <w:p w:rsidR="00E9289E" w:rsidRDefault="00E9289E" w:rsidP="00BB049D">
            <w:pPr>
              <w:spacing w:after="0"/>
              <w:jc w:val="left"/>
              <w:cnfStyle w:val="000000100000"/>
              <w:rPr>
                <w:spacing w:val="-1"/>
              </w:rPr>
            </w:pPr>
            <w:r>
              <w:rPr>
                <w:spacing w:val="-1"/>
              </w:rPr>
              <w:t>Uniform Resource Locator</w:t>
            </w:r>
          </w:p>
        </w:tc>
      </w:tr>
      <w:tr w:rsidR="00A14BB0" w:rsidRPr="00AF37E7" w:rsidTr="00715306">
        <w:trPr>
          <w:cnfStyle w:val="000000010000"/>
        </w:trPr>
        <w:tc>
          <w:tcPr>
            <w:cnfStyle w:val="001000000000"/>
            <w:tcW w:w="1526" w:type="dxa"/>
            <w:tcBorders>
              <w:right w:val="none" w:sz="0" w:space="0" w:color="auto"/>
            </w:tcBorders>
          </w:tcPr>
          <w:p w:rsidR="00A14BB0" w:rsidRDefault="00A14BB0" w:rsidP="00DB6369">
            <w:pPr>
              <w:spacing w:after="0"/>
              <w:jc w:val="right"/>
              <w:rPr>
                <w:bCs w:val="0"/>
                <w:color w:val="auto"/>
              </w:rPr>
            </w:pPr>
            <w:r>
              <w:rPr>
                <w:bCs w:val="0"/>
                <w:color w:val="auto"/>
              </w:rPr>
              <w:t>WGCV</w:t>
            </w:r>
          </w:p>
        </w:tc>
        <w:tc>
          <w:tcPr>
            <w:tcW w:w="8328" w:type="dxa"/>
            <w:tcBorders>
              <w:left w:val="none" w:sz="0" w:space="0" w:color="auto"/>
            </w:tcBorders>
          </w:tcPr>
          <w:p w:rsidR="00A14BB0" w:rsidRDefault="00A14BB0" w:rsidP="00BB049D">
            <w:pPr>
              <w:spacing w:after="0"/>
              <w:jc w:val="left"/>
              <w:cnfStyle w:val="000000010000"/>
              <w:rPr>
                <w:spacing w:val="-1"/>
              </w:rPr>
            </w:pPr>
            <w:r>
              <w:rPr>
                <w:spacing w:val="-1"/>
              </w:rPr>
              <w:t>Working Group on Calibration and Validation</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sidRPr="00DB6369">
              <w:rPr>
                <w:bCs w:val="0"/>
                <w:color w:val="auto"/>
              </w:rPr>
              <w:t>WGISS</w:t>
            </w:r>
          </w:p>
        </w:tc>
        <w:tc>
          <w:tcPr>
            <w:tcW w:w="8328" w:type="dxa"/>
            <w:tcBorders>
              <w:left w:val="none" w:sz="0" w:space="0" w:color="auto"/>
            </w:tcBorders>
          </w:tcPr>
          <w:p w:rsidR="00A14BB0" w:rsidRPr="00886EA8" w:rsidRDefault="00715306" w:rsidP="00BB049D">
            <w:pPr>
              <w:spacing w:after="0"/>
              <w:jc w:val="left"/>
              <w:cnfStyle w:val="000000100000"/>
              <w:rPr>
                <w:color w:val="auto"/>
              </w:rPr>
            </w:pPr>
            <w:r>
              <w:rPr>
                <w:color w:val="auto"/>
              </w:rPr>
              <w:t>Working Group on Information Systems and Services</w:t>
            </w:r>
          </w:p>
        </w:tc>
      </w:tr>
      <w:tr w:rsidR="00A14BB0" w:rsidRPr="00BB049D" w:rsidTr="00715306">
        <w:trPr>
          <w:cnfStyle w:val="00000001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r>
              <w:rPr>
                <w:bCs w:val="0"/>
                <w:color w:val="auto"/>
              </w:rPr>
              <w:t>WMO</w:t>
            </w:r>
          </w:p>
        </w:tc>
        <w:tc>
          <w:tcPr>
            <w:tcW w:w="8328" w:type="dxa"/>
            <w:tcBorders>
              <w:left w:val="none" w:sz="0" w:space="0" w:color="auto"/>
            </w:tcBorders>
          </w:tcPr>
          <w:p w:rsidR="00A14BB0" w:rsidRPr="00886EA8" w:rsidRDefault="00A14BB0" w:rsidP="00BB049D">
            <w:pPr>
              <w:spacing w:after="0"/>
              <w:jc w:val="left"/>
              <w:cnfStyle w:val="000000010000"/>
              <w:rPr>
                <w:color w:val="auto"/>
              </w:rPr>
            </w:pPr>
            <w:r>
              <w:rPr>
                <w:color w:val="auto"/>
              </w:rPr>
              <w:t>World Meteorological Organisation</w:t>
            </w:r>
          </w:p>
        </w:tc>
      </w:tr>
      <w:tr w:rsidR="00A14BB0" w:rsidRPr="00BB049D" w:rsidTr="00715306">
        <w:trPr>
          <w:cnfStyle w:val="000000100000"/>
        </w:trPr>
        <w:tc>
          <w:tcPr>
            <w:cnfStyle w:val="001000000000"/>
            <w:tcW w:w="1526" w:type="dxa"/>
            <w:tcBorders>
              <w:right w:val="none" w:sz="0" w:space="0" w:color="auto"/>
            </w:tcBorders>
          </w:tcPr>
          <w:p w:rsidR="00A14BB0" w:rsidRPr="00DB6369" w:rsidRDefault="00A14BB0" w:rsidP="00DB6369">
            <w:pPr>
              <w:spacing w:after="0"/>
              <w:jc w:val="right"/>
              <w:rPr>
                <w:bCs w:val="0"/>
                <w:color w:val="auto"/>
              </w:rPr>
            </w:pPr>
          </w:p>
        </w:tc>
        <w:tc>
          <w:tcPr>
            <w:tcW w:w="8328" w:type="dxa"/>
            <w:tcBorders>
              <w:left w:val="none" w:sz="0" w:space="0" w:color="auto"/>
            </w:tcBorders>
          </w:tcPr>
          <w:p w:rsidR="00A14BB0" w:rsidRPr="00886EA8" w:rsidRDefault="00A14BB0" w:rsidP="00BB049D">
            <w:pPr>
              <w:spacing w:after="0"/>
              <w:jc w:val="left"/>
              <w:cnfStyle w:val="000000100000"/>
              <w:rPr>
                <w:color w:val="auto"/>
              </w:rPr>
            </w:pPr>
          </w:p>
        </w:tc>
      </w:tr>
      <w:tr w:rsidR="00A14BB0" w:rsidRPr="00BB049D" w:rsidTr="00715306">
        <w:trPr>
          <w:cnfStyle w:val="000000010000"/>
        </w:trPr>
        <w:tc>
          <w:tcPr>
            <w:cnfStyle w:val="001000000000"/>
            <w:tcW w:w="1526" w:type="dxa"/>
            <w:tcBorders>
              <w:right w:val="none" w:sz="0" w:space="0" w:color="auto"/>
            </w:tcBorders>
          </w:tcPr>
          <w:p w:rsidR="00A14BB0" w:rsidRPr="00BB049D" w:rsidRDefault="00A14BB0" w:rsidP="00BB049D">
            <w:pPr>
              <w:spacing w:after="0"/>
              <w:jc w:val="left"/>
              <w:rPr>
                <w:b w:val="0"/>
                <w:bCs w:val="0"/>
                <w:color w:val="auto"/>
              </w:rPr>
            </w:pPr>
          </w:p>
        </w:tc>
        <w:tc>
          <w:tcPr>
            <w:tcW w:w="8328" w:type="dxa"/>
            <w:tcBorders>
              <w:left w:val="none" w:sz="0" w:space="0" w:color="auto"/>
            </w:tcBorders>
          </w:tcPr>
          <w:p w:rsidR="00A14BB0" w:rsidRPr="00886EA8" w:rsidRDefault="00A14BB0" w:rsidP="00BB049D">
            <w:pPr>
              <w:spacing w:after="0"/>
              <w:jc w:val="left"/>
              <w:cnfStyle w:val="000000010000"/>
              <w:rPr>
                <w:color w:val="auto"/>
              </w:rPr>
            </w:pPr>
          </w:p>
        </w:tc>
      </w:tr>
    </w:tbl>
    <w:p w:rsidR="00264BB2" w:rsidRPr="00264BB2" w:rsidRDefault="00264BB2" w:rsidP="00264BB2">
      <w:pPr>
        <w:rPr>
          <w:b/>
          <w:color w:val="FF0000"/>
        </w:rPr>
      </w:pPr>
    </w:p>
    <w:p w:rsidR="005D4C3F" w:rsidRPr="00AB5790" w:rsidRDefault="00A943B2" w:rsidP="00AB5790">
      <w:pPr>
        <w:pStyle w:val="Heading1notnumbered"/>
      </w:pPr>
      <w:bookmarkStart w:id="85" w:name="_Toc315694433"/>
      <w:bookmarkStart w:id="86" w:name="_Toc460923857"/>
      <w:r>
        <w:lastRenderedPageBreak/>
        <w:t>References</w:t>
      </w:r>
      <w:bookmarkEnd w:id="85"/>
      <w:bookmarkEnd w:id="86"/>
    </w:p>
    <w:p w:rsidR="00E44CE8" w:rsidRDefault="00E44CE8" w:rsidP="009867C5">
      <w:pPr>
        <w:pStyle w:val="Reference"/>
        <w:rPr>
          <w:color w:val="FF0000"/>
          <w:lang w:val="en-US"/>
        </w:rPr>
      </w:pPr>
      <w:r w:rsidRPr="00097435">
        <w:rPr>
          <w:color w:val="FF0000"/>
          <w:lang w:val="en-US"/>
        </w:rPr>
        <w:t>[Not complete</w:t>
      </w:r>
      <w:r w:rsidR="00097435" w:rsidRPr="00097435">
        <w:rPr>
          <w:color w:val="FF0000"/>
          <w:lang w:val="en-US"/>
        </w:rPr>
        <w:t>, not fully formatted</w:t>
      </w:r>
      <w:r w:rsidRPr="00097435">
        <w:rPr>
          <w:color w:val="FF0000"/>
          <w:lang w:val="en-US"/>
        </w:rPr>
        <w:t>]</w:t>
      </w:r>
    </w:p>
    <w:p w:rsidR="00097435" w:rsidRPr="00097435" w:rsidRDefault="00097435" w:rsidP="009867C5">
      <w:pPr>
        <w:pStyle w:val="Reference"/>
        <w:rPr>
          <w:color w:val="FF0000"/>
          <w:lang w:val="en-US"/>
        </w:rPr>
      </w:pPr>
    </w:p>
    <w:p w:rsidR="00AB5790" w:rsidRDefault="00AB5790" w:rsidP="009867C5">
      <w:pPr>
        <w:pStyle w:val="Reference"/>
      </w:pPr>
      <w:r w:rsidRPr="005200B6">
        <w:rPr>
          <w:lang w:val="de-DE"/>
        </w:rPr>
        <w:t xml:space="preserve">Baldassarre, G., Pozzoli, L., Schmidt, C. C., Unal, A., Kindap, T., Menzel, W. P., … </w:t>
      </w:r>
      <w:r w:rsidRPr="00B335D7">
        <w:t xml:space="preserve">Kaiser, J. W. (2015). Using SEVIRI fire observations to drive smoke plumes in the CMAQ air quality model: a case study over Antalya in 2008. Atmos. </w:t>
      </w:r>
      <w:r w:rsidR="009867C5">
        <w:t>Chem. Phys., 15(14), 8539–8558.</w:t>
      </w:r>
    </w:p>
    <w:p w:rsidR="009867C5" w:rsidRDefault="00AB5790" w:rsidP="009867C5">
      <w:pPr>
        <w:pStyle w:val="Reference"/>
      </w:pPr>
      <w:r>
        <w:t xml:space="preserve">Bessho, K. et al. </w:t>
      </w:r>
      <w:r w:rsidR="00A970D8">
        <w:t xml:space="preserve">(2016), </w:t>
      </w:r>
      <w:r>
        <w:t xml:space="preserve">“An Introduction to Himawari-8/9— Japan’s New-Generation Geostationary Meteorological Satellites”. </w:t>
      </w:r>
      <w:r w:rsidRPr="001E5C53">
        <w:rPr>
          <w:i/>
        </w:rPr>
        <w:t>J</w:t>
      </w:r>
      <w:r w:rsidRPr="008E232E">
        <w:rPr>
          <w:i/>
        </w:rPr>
        <w:t>ournal of the Meteorological Society of Japan</w:t>
      </w:r>
      <w:r w:rsidR="00A970D8">
        <w:t>,</w:t>
      </w:r>
      <w:r>
        <w:t xml:space="preserve"> Ser. II</w:t>
      </w:r>
      <w:r>
        <w:br/>
      </w:r>
      <w:r w:rsidRPr="009867C5">
        <w:t>Vol. 94</w:t>
      </w:r>
      <w:r w:rsidR="00A970D8">
        <w:t xml:space="preserve">, </w:t>
      </w:r>
      <w:r w:rsidRPr="009867C5">
        <w:t>No. 2</w:t>
      </w:r>
      <w:r w:rsidR="009867C5">
        <w:t xml:space="preserve"> p. 151-183</w:t>
      </w:r>
      <w:r>
        <w:t xml:space="preserve">. </w:t>
      </w:r>
    </w:p>
    <w:p w:rsidR="00EC3B30" w:rsidRPr="003B3948" w:rsidRDefault="00EC3B30" w:rsidP="009867C5">
      <w:pPr>
        <w:pStyle w:val="Reference"/>
      </w:pPr>
      <w:r w:rsidRPr="009867C5">
        <w:t>Ceccato</w:t>
      </w:r>
      <w:r w:rsidRPr="00F8592A">
        <w:t>, P. , Vancutsem, C., Klaver, R., Rowland, J., Connor, S.J</w:t>
      </w:r>
      <w:r w:rsidRPr="009867C5">
        <w:rPr>
          <w:color w:val="auto"/>
        </w:rPr>
        <w:t xml:space="preserve">. </w:t>
      </w:r>
      <w:r w:rsidR="00097435">
        <w:rPr>
          <w:color w:val="auto"/>
        </w:rPr>
        <w:t xml:space="preserve">(2012), </w:t>
      </w:r>
      <w:r w:rsidRPr="009867C5">
        <w:rPr>
          <w:color w:val="auto"/>
        </w:rPr>
        <w:t>A Vectorial Capacity Product to Monitor Changing Malaria Transmission Potential in Epidemic Regions of Africa</w:t>
      </w:r>
      <w:r w:rsidRPr="00F8592A">
        <w:t xml:space="preserve">. </w:t>
      </w:r>
      <w:r w:rsidRPr="00F8592A">
        <w:rPr>
          <w:i/>
          <w:iCs/>
        </w:rPr>
        <w:t>Journal of Tropical Medicine</w:t>
      </w:r>
      <w:r w:rsidR="009867C5">
        <w:t>, Volume 2012.</w:t>
      </w:r>
    </w:p>
    <w:p w:rsidR="009867C5" w:rsidRDefault="009867C5" w:rsidP="009867C5">
      <w:pPr>
        <w:pStyle w:val="Reference"/>
      </w:pPr>
      <w:r w:rsidRPr="001E5C53">
        <w:rPr>
          <w:shd w:val="clear" w:color="auto" w:fill="FFFFFF"/>
        </w:rPr>
        <w:t xml:space="preserve">CGMS-44-KMA-WP-01, </w:t>
      </w:r>
      <w:r w:rsidR="00097435">
        <w:rPr>
          <w:shd w:val="clear" w:color="auto" w:fill="FFFFFF"/>
        </w:rPr>
        <w:t xml:space="preserve">(2016), </w:t>
      </w:r>
      <w:r w:rsidRPr="001E5C53">
        <w:rPr>
          <w:shd w:val="clear" w:color="auto" w:fill="FFFFFF"/>
        </w:rPr>
        <w:t>“</w:t>
      </w:r>
      <w:r w:rsidRPr="001E5C53">
        <w:rPr>
          <w:i/>
          <w:shd w:val="clear" w:color="auto" w:fill="FFFFFF"/>
        </w:rPr>
        <w:t>Status report on the current and future satellite systems by KMA</w:t>
      </w:r>
      <w:r w:rsidR="00097435">
        <w:rPr>
          <w:shd w:val="clear" w:color="auto" w:fill="FFFFFF"/>
        </w:rPr>
        <w:t>”,</w:t>
      </w:r>
      <w:r w:rsidRPr="001E5C53">
        <w:rPr>
          <w:shd w:val="clear" w:color="auto" w:fill="FFFFFF"/>
        </w:rPr>
        <w:t xml:space="preserve"> </w:t>
      </w:r>
      <w:r w:rsidRPr="001E5C53">
        <w:rPr>
          <w:rStyle w:val="Emphasis"/>
        </w:rPr>
        <w:t>Coordination Group for Meteorological Satellites</w:t>
      </w:r>
      <w:r w:rsidRPr="001E5C53">
        <w:rPr>
          <w:rStyle w:val="st"/>
        </w:rPr>
        <w:t xml:space="preserve"> (</w:t>
      </w:r>
      <w:r w:rsidRPr="001E5C53">
        <w:rPr>
          <w:rStyle w:val="Emphasis"/>
        </w:rPr>
        <w:t>CGMS</w:t>
      </w:r>
      <w:r w:rsidRPr="001E5C53">
        <w:rPr>
          <w:rStyle w:val="st"/>
        </w:rPr>
        <w:t>)</w:t>
      </w:r>
      <w:r w:rsidR="00097435">
        <w:rPr>
          <w:rStyle w:val="st"/>
        </w:rPr>
        <w:t>.</w:t>
      </w:r>
      <w:r w:rsidRPr="001E5C53">
        <w:t xml:space="preserve"> </w:t>
      </w:r>
    </w:p>
    <w:p w:rsidR="009867C5" w:rsidRDefault="009867C5" w:rsidP="009867C5">
      <w:pPr>
        <w:pStyle w:val="Reference"/>
      </w:pPr>
      <w:r>
        <w:t xml:space="preserve">CGMS44-CMA-WP-01, </w:t>
      </w:r>
      <w:r w:rsidR="00097435">
        <w:t xml:space="preserve">(2016), </w:t>
      </w:r>
      <w:r>
        <w:t>“</w:t>
      </w:r>
      <w:r w:rsidRPr="00D02F3F">
        <w:rPr>
          <w:i/>
        </w:rPr>
        <w:t>Report on the status of current and future satellite systems</w:t>
      </w:r>
      <w:r>
        <w:t xml:space="preserve">”, </w:t>
      </w:r>
      <w:r w:rsidRPr="00D02F3F">
        <w:rPr>
          <w:rStyle w:val="Emphasis"/>
        </w:rPr>
        <w:t>Coordination Group for Meteorological Satellites</w:t>
      </w:r>
      <w:r w:rsidRPr="00D02F3F">
        <w:rPr>
          <w:rStyle w:val="st"/>
        </w:rPr>
        <w:t xml:space="preserve"> (</w:t>
      </w:r>
      <w:r w:rsidRPr="00D02F3F">
        <w:rPr>
          <w:rStyle w:val="Emphasis"/>
        </w:rPr>
        <w:t>CGMS</w:t>
      </w:r>
      <w:r w:rsidRPr="00D02F3F">
        <w:rPr>
          <w:rStyle w:val="st"/>
        </w:rPr>
        <w:t>)</w:t>
      </w:r>
      <w:r w:rsidR="00097435">
        <w:rPr>
          <w:rStyle w:val="st"/>
        </w:rPr>
        <w:t>.</w:t>
      </w:r>
    </w:p>
    <w:p w:rsidR="009867C5" w:rsidRDefault="009867C5" w:rsidP="009867C5">
      <w:pPr>
        <w:pStyle w:val="Reference"/>
      </w:pPr>
      <w:r w:rsidRPr="00B335D7">
        <w:rPr>
          <w:rFonts w:asciiTheme="minorHAnsi" w:eastAsia="Times New Roman" w:hAnsiTheme="minorHAnsi" w:cstheme="minorHAnsi"/>
          <w:color w:val="auto"/>
          <w:lang w:val="en-GB" w:eastAsia="en-GB"/>
        </w:rPr>
        <w:t>CGMS-44-EUMETSAT-WP-34</w:t>
      </w:r>
      <w:r>
        <w:rPr>
          <w:rFonts w:asciiTheme="minorHAnsi" w:hAnsiTheme="minorHAnsi" w:cstheme="minorHAnsi"/>
          <w:bCs/>
          <w:lang w:val="en-GB"/>
        </w:rPr>
        <w:t>, “</w:t>
      </w:r>
      <w:r>
        <w:t xml:space="preserve">Land Surface Analysis SAF - LSA SAF”, </w:t>
      </w:r>
      <w:r w:rsidRPr="00D02F3F">
        <w:rPr>
          <w:rStyle w:val="Emphasis"/>
        </w:rPr>
        <w:t>Coordination Group for Meteorological Satellites</w:t>
      </w:r>
      <w:r w:rsidRPr="00D02F3F">
        <w:rPr>
          <w:rStyle w:val="st"/>
        </w:rPr>
        <w:t xml:space="preserve"> (</w:t>
      </w:r>
      <w:r w:rsidRPr="00D02F3F">
        <w:rPr>
          <w:rStyle w:val="Emphasis"/>
        </w:rPr>
        <w:t>CGMS</w:t>
      </w:r>
      <w:r w:rsidRPr="00D02F3F">
        <w:rPr>
          <w:rStyle w:val="st"/>
        </w:rPr>
        <w:t>)</w:t>
      </w:r>
      <w:r>
        <w:rPr>
          <w:rStyle w:val="st"/>
        </w:rPr>
        <w:t>,</w:t>
      </w:r>
      <w:r w:rsidRPr="00B335D7">
        <w:rPr>
          <w:rFonts w:asciiTheme="minorHAnsi" w:hAnsiTheme="minorHAnsi" w:cstheme="minorHAnsi"/>
          <w:lang w:val="en-GB"/>
        </w:rPr>
        <w:t xml:space="preserve"> 2016</w:t>
      </w:r>
      <w:r>
        <w:rPr>
          <w:rFonts w:asciiTheme="minorHAnsi" w:hAnsiTheme="minorHAnsi" w:cstheme="minorHAnsi"/>
          <w:lang w:val="en-GB"/>
        </w:rPr>
        <w:t>.</w:t>
      </w:r>
    </w:p>
    <w:p w:rsidR="009867C5" w:rsidRPr="009867C5" w:rsidRDefault="009867C5" w:rsidP="009867C5">
      <w:pPr>
        <w:pStyle w:val="Reference"/>
      </w:pPr>
      <w:r w:rsidRPr="002A61EE">
        <w:rPr>
          <w:rFonts w:asciiTheme="minorHAnsi" w:eastAsia="Times New Roman" w:hAnsiTheme="minorHAnsi" w:cstheme="minorHAnsi"/>
          <w:color w:val="auto"/>
          <w:lang w:val="en-GB" w:eastAsia="en-GB"/>
        </w:rPr>
        <w:t>CGMS-44-EUMETSAT-WP-3</w:t>
      </w:r>
      <w:r>
        <w:rPr>
          <w:rFonts w:asciiTheme="minorHAnsi" w:eastAsia="Times New Roman" w:hAnsiTheme="minorHAnsi" w:cstheme="minorHAnsi"/>
          <w:color w:val="auto"/>
          <w:lang w:val="en-GB" w:eastAsia="en-GB"/>
        </w:rPr>
        <w:t>3</w:t>
      </w:r>
      <w:r>
        <w:rPr>
          <w:rFonts w:asciiTheme="minorHAnsi" w:hAnsiTheme="minorHAnsi" w:cstheme="minorHAnsi"/>
          <w:bCs/>
          <w:lang w:val="en-GB"/>
        </w:rPr>
        <w:t>,</w:t>
      </w:r>
      <w:r w:rsidR="00097435">
        <w:rPr>
          <w:rFonts w:asciiTheme="minorHAnsi" w:hAnsiTheme="minorHAnsi" w:cstheme="minorHAnsi"/>
          <w:bCs/>
          <w:lang w:val="en-GB"/>
        </w:rPr>
        <w:t xml:space="preserve"> (2016),</w:t>
      </w:r>
      <w:r>
        <w:rPr>
          <w:rFonts w:asciiTheme="minorHAnsi" w:hAnsiTheme="minorHAnsi" w:cstheme="minorHAnsi"/>
          <w:bCs/>
          <w:lang w:val="en-GB"/>
        </w:rPr>
        <w:t xml:space="preserve"> “</w:t>
      </w:r>
      <w:r>
        <w:t xml:space="preserve">EUMETSAT’s Network of Satellite Application Facilities (SAF Network): Sustained Development and Operations of Products from Satellites”, </w:t>
      </w:r>
      <w:r w:rsidRPr="00D02F3F">
        <w:rPr>
          <w:rStyle w:val="Emphasis"/>
        </w:rPr>
        <w:t>Coordination Group for Meteorological Satellites</w:t>
      </w:r>
      <w:r w:rsidRPr="00D02F3F">
        <w:rPr>
          <w:rStyle w:val="st"/>
        </w:rPr>
        <w:t xml:space="preserve"> (</w:t>
      </w:r>
      <w:r w:rsidRPr="00D02F3F">
        <w:rPr>
          <w:rStyle w:val="Emphasis"/>
        </w:rPr>
        <w:t>CGMS</w:t>
      </w:r>
      <w:r w:rsidRPr="00D02F3F">
        <w:rPr>
          <w:rStyle w:val="st"/>
        </w:rPr>
        <w:t>)</w:t>
      </w:r>
      <w:r w:rsidR="00097435">
        <w:rPr>
          <w:rStyle w:val="st"/>
        </w:rPr>
        <w:t>.</w:t>
      </w:r>
    </w:p>
    <w:p w:rsidR="009867C5" w:rsidRPr="009867C5" w:rsidRDefault="00AB5790" w:rsidP="009867C5">
      <w:pPr>
        <w:pStyle w:val="Reference"/>
        <w:rPr>
          <w:rFonts w:asciiTheme="minorHAnsi" w:hAnsiTheme="minorHAnsi" w:cstheme="minorHAnsi"/>
        </w:rPr>
      </w:pPr>
      <w:r w:rsidRPr="00B335D7">
        <w:rPr>
          <w:rFonts w:asciiTheme="minorHAnsi" w:hAnsiTheme="minorHAnsi" w:cstheme="minorHAnsi"/>
          <w:iCs/>
        </w:rPr>
        <w:t xml:space="preserve">Cline D., Rost A., Painter T. and Bovitz C., </w:t>
      </w:r>
      <w:r w:rsidR="0034005B">
        <w:rPr>
          <w:rFonts w:asciiTheme="minorHAnsi" w:hAnsiTheme="minorHAnsi" w:cstheme="minorHAnsi"/>
          <w:iCs/>
        </w:rPr>
        <w:t>(</w:t>
      </w:r>
      <w:r w:rsidRPr="00B335D7">
        <w:rPr>
          <w:rFonts w:asciiTheme="minorHAnsi" w:hAnsiTheme="minorHAnsi" w:cstheme="minorHAnsi"/>
          <w:iCs/>
        </w:rPr>
        <w:t xml:space="preserve">2010): NOAA NESDIS </w:t>
      </w:r>
      <w:r w:rsidRPr="00B335D7">
        <w:rPr>
          <w:rFonts w:asciiTheme="minorHAnsi" w:hAnsiTheme="minorHAnsi" w:cstheme="minorHAnsi"/>
          <w:bCs/>
        </w:rPr>
        <w:t>Center for Satellite Applications and Research,</w:t>
      </w:r>
      <w:r w:rsidRPr="00B335D7">
        <w:rPr>
          <w:rFonts w:asciiTheme="minorHAnsi" w:hAnsiTheme="minorHAnsi" w:cstheme="minorHAnsi"/>
          <w:iCs/>
        </w:rPr>
        <w:t xml:space="preserve"> Algorithm Theoretical Basis Document – Snow Cover,</w:t>
      </w:r>
      <w:r>
        <w:rPr>
          <w:rFonts w:asciiTheme="minorHAnsi" w:hAnsiTheme="minorHAnsi" w:cstheme="minorHAnsi"/>
        </w:rPr>
        <w:t xml:space="preserve"> </w:t>
      </w:r>
      <w:r w:rsidRPr="00B335D7">
        <w:rPr>
          <w:rFonts w:asciiTheme="minorHAnsi" w:hAnsiTheme="minorHAnsi" w:cstheme="minorHAnsi"/>
          <w:iCs/>
        </w:rPr>
        <w:t>http://www.goes-r.gov/products/ATBDs/option2/Cryosphere_SnowCover_v2.0_no_color.pdf</w:t>
      </w:r>
      <w:r w:rsidR="0034005B">
        <w:rPr>
          <w:rFonts w:asciiTheme="minorHAnsi" w:hAnsiTheme="minorHAnsi" w:cstheme="minorHAnsi"/>
          <w:iCs/>
        </w:rPr>
        <w:t>.</w:t>
      </w:r>
    </w:p>
    <w:p w:rsidR="00EC3B30" w:rsidRPr="001953A5" w:rsidRDefault="00EC3B30" w:rsidP="009867C5">
      <w:pPr>
        <w:pStyle w:val="Reference"/>
      </w:pPr>
      <w:r>
        <w:rPr>
          <w:lang w:val="en-US" w:eastAsia="en-US"/>
        </w:rPr>
        <w:t>CMA URL, (2016)</w:t>
      </w:r>
      <w:r w:rsidR="0034005B">
        <w:rPr>
          <w:lang w:val="en-US" w:eastAsia="en-US"/>
        </w:rPr>
        <w:t>,</w:t>
      </w:r>
      <w:r>
        <w:rPr>
          <w:lang w:val="en-US" w:eastAsia="en-US"/>
        </w:rPr>
        <w:t xml:space="preserve"> </w:t>
      </w:r>
      <w:hyperlink r:id="rId84" w:history="1">
        <w:r w:rsidRPr="008E232E">
          <w:rPr>
            <w:rStyle w:val="Hyperlink"/>
            <w:szCs w:val="24"/>
          </w:rPr>
          <w:t>http://www.nsmc.org.cn/en/NSMC/Channels/cmacast.html</w:t>
        </w:r>
      </w:hyperlink>
      <w:r w:rsidRPr="008E232E">
        <w:t xml:space="preserve">. </w:t>
      </w:r>
    </w:p>
    <w:p w:rsidR="00AB5790" w:rsidRPr="00A47FC5" w:rsidRDefault="00AB5790" w:rsidP="009867C5">
      <w:pPr>
        <w:pStyle w:val="Reference"/>
      </w:pPr>
      <w:r w:rsidRPr="009867C5">
        <w:t>Coelho</w:t>
      </w:r>
      <w:r w:rsidRPr="00A47FC5">
        <w:t xml:space="preserve"> S., </w:t>
      </w:r>
      <w:r w:rsidR="00097435">
        <w:t xml:space="preserve">(2016), </w:t>
      </w:r>
      <w:r w:rsidRPr="00A47FC5">
        <w:t>Land Surface Analysis SAF – LSA SAF, Joint CGMS-CEOS Side Event on the Occasion of the CGMS-44 Plenary Session-44, 8.6.2016, Biot, France</w:t>
      </w:r>
      <w:r w:rsidR="009867C5">
        <w:t>.</w:t>
      </w:r>
    </w:p>
    <w:p w:rsidR="009867C5" w:rsidRDefault="00AB5790" w:rsidP="009867C5">
      <w:pPr>
        <w:pStyle w:val="Reference"/>
        <w:rPr>
          <w:rFonts w:asciiTheme="minorHAnsi" w:hAnsiTheme="minorHAnsi"/>
        </w:rPr>
      </w:pPr>
      <w:r w:rsidRPr="00630150">
        <w:rPr>
          <w:rFonts w:asciiTheme="minorHAnsi" w:hAnsiTheme="minorHAnsi"/>
        </w:rPr>
        <w:t xml:space="preserve">Emelyanova, I. V., McVicar, T. R., Van Niel, T. G., Li, L. T., &amp; van Dijk, A. I. J. M. (2013). Assessing the accuracy of blending Landsat–MODIS surface reflectances in two landscapes with contrasting spatial and temporal dynamics: A framework for algorithm selection. Remote Sensing of Environment, 133, 193–209. </w:t>
      </w:r>
    </w:p>
    <w:p w:rsidR="009867C5" w:rsidRDefault="00630150" w:rsidP="009867C5">
      <w:pPr>
        <w:pStyle w:val="Reference"/>
      </w:pPr>
      <w:r w:rsidRPr="005559D8">
        <w:rPr>
          <w:rFonts w:asciiTheme="minorHAnsi" w:hAnsiTheme="minorHAnsi"/>
          <w:lang w:val="en-US"/>
        </w:rPr>
        <w:t xml:space="preserve">Gao, F., Masek, J., Schwaller, M., &amp; Hall, F. (2006). </w:t>
      </w:r>
      <w:r w:rsidRPr="00630150">
        <w:rPr>
          <w:rFonts w:asciiTheme="minorHAnsi" w:hAnsiTheme="minorHAnsi"/>
        </w:rPr>
        <w:t xml:space="preserve">On the blending of the Landsat and MODIS surface reflectance: predicting daily Landsat surface reflectance. IEEE Transactions on Geoscience and Remote Sensing, 44(8), 2207–2218. </w:t>
      </w:r>
    </w:p>
    <w:p w:rsidR="00AB5790" w:rsidRPr="0034005B" w:rsidRDefault="00AB5790" w:rsidP="0034005B">
      <w:pPr>
        <w:pStyle w:val="Reference"/>
        <w:rPr>
          <w:rFonts w:asciiTheme="minorHAnsi" w:hAnsiTheme="minorHAnsi" w:cstheme="minorHAnsi"/>
        </w:rPr>
      </w:pPr>
      <w:r>
        <w:t xml:space="preserve">Goldberg, M, </w:t>
      </w:r>
      <w:r w:rsidR="00097435">
        <w:t xml:space="preserve">(2016), </w:t>
      </w:r>
      <w:r>
        <w:t>JPSS Applications and User Engagement, STAR JPSS Annual Science team Meeting 2016, College Park, United States, 8-12 August 2016.</w:t>
      </w:r>
    </w:p>
    <w:p w:rsidR="00EC3B30" w:rsidRDefault="00EC3B30" w:rsidP="009867C5">
      <w:pPr>
        <w:pStyle w:val="Reference"/>
      </w:pPr>
      <w:r w:rsidRPr="00F8592A">
        <w:t>Grover-Kopec E. K., Blumenthal, M. B., Ceccato, P., Dinku, T., Omumbo, J. A, Connor, S. J. Web-</w:t>
      </w:r>
      <w:r w:rsidRPr="009867C5">
        <w:t>based</w:t>
      </w:r>
      <w:r w:rsidRPr="00F8592A">
        <w:t xml:space="preserve"> climate information resources for malaria control in Africa. </w:t>
      </w:r>
      <w:r w:rsidRPr="00F8592A">
        <w:rPr>
          <w:i/>
        </w:rPr>
        <w:t>Malaria Journal</w:t>
      </w:r>
      <w:r w:rsidRPr="00F8592A">
        <w:t xml:space="preserve">, </w:t>
      </w:r>
      <w:r w:rsidR="00097435">
        <w:t>(</w:t>
      </w:r>
      <w:r w:rsidRPr="00F8592A">
        <w:t>2006</w:t>
      </w:r>
      <w:r w:rsidR="00097435">
        <w:t>)</w:t>
      </w:r>
      <w:r w:rsidRPr="00F8592A">
        <w:t>, 5:38,. doi:10.1186/1475-2875-5-38.</w:t>
      </w:r>
    </w:p>
    <w:p w:rsidR="00AB5790" w:rsidRPr="00E11AAE" w:rsidRDefault="00AB5790" w:rsidP="009867C5">
      <w:pPr>
        <w:pStyle w:val="Reference"/>
        <w:rPr>
          <w:rFonts w:asciiTheme="minorHAnsi" w:hAnsiTheme="minorHAnsi" w:cstheme="minorHAnsi"/>
        </w:rPr>
      </w:pPr>
      <w:r w:rsidRPr="00B335D7">
        <w:rPr>
          <w:rFonts w:asciiTheme="minorHAnsi" w:hAnsiTheme="minorHAnsi" w:cstheme="minorHAnsi"/>
          <w:iCs/>
        </w:rPr>
        <w:t>Hashimoto M., Higurashi A., Takenaka H. and Nakajima T., 2015:</w:t>
      </w:r>
      <w:r w:rsidRPr="00B335D7">
        <w:rPr>
          <w:rFonts w:asciiTheme="minorHAnsi" w:hAnsiTheme="minorHAnsi" w:cstheme="minorHAnsi"/>
        </w:rPr>
        <w:t xml:space="preserve"> </w:t>
      </w:r>
      <w:r w:rsidRPr="00B335D7">
        <w:rPr>
          <w:rFonts w:asciiTheme="minorHAnsi" w:eastAsia="Times New Roman" w:hAnsiTheme="minorHAnsi" w:cstheme="minorHAnsi"/>
          <w:lang w:eastAsia="en-GB"/>
        </w:rPr>
        <w:t xml:space="preserve">Aerosol retrieval using Himawari-8 visible data, </w:t>
      </w:r>
      <w:r w:rsidRPr="00B335D7">
        <w:rPr>
          <w:rFonts w:asciiTheme="minorHAnsi" w:hAnsiTheme="minorHAnsi" w:cstheme="minorHAnsi"/>
        </w:rPr>
        <w:t>The Sixth Asia/Oceania Meteorological Satellite Users' Conference, 9 –</w:t>
      </w:r>
      <w:r w:rsidR="009867C5">
        <w:rPr>
          <w:rFonts w:asciiTheme="minorHAnsi" w:hAnsiTheme="minorHAnsi" w:cstheme="minorHAnsi"/>
        </w:rPr>
        <w:t xml:space="preserve"> 13 November 2015, Tokyo/Japan.</w:t>
      </w:r>
    </w:p>
    <w:p w:rsidR="00AB5790" w:rsidRDefault="00097435" w:rsidP="009867C5">
      <w:pPr>
        <w:pStyle w:val="Reference"/>
      </w:pPr>
      <w:r>
        <w:lastRenderedPageBreak/>
        <w:t>Independent (</w:t>
      </w:r>
      <w:r w:rsidR="00164599">
        <w:t>2016</w:t>
      </w:r>
      <w:r>
        <w:t>),</w:t>
      </w:r>
      <w:r w:rsidR="00F153A8">
        <w:t xml:space="preserve"> </w:t>
      </w:r>
      <w:hyperlink r:id="rId85" w:history="1">
        <w:r w:rsidR="00F153A8" w:rsidRPr="00974C72">
          <w:rPr>
            <w:rStyle w:val="Hyperlink"/>
          </w:rPr>
          <w:t>http://www.independent.co.uk/news/world/africa/the-great-drought-disaster-looms-in-east-africa-1797003.html</w:t>
        </w:r>
      </w:hyperlink>
    </w:p>
    <w:p w:rsidR="00097435" w:rsidRPr="00F153A8" w:rsidRDefault="00097435" w:rsidP="009867C5">
      <w:pPr>
        <w:pStyle w:val="Reference"/>
      </w:pPr>
      <w:r>
        <w:t>IOCCG (2012), Ocean Colour Observations from a Geostationary Orbit, Antoine, D. (ed.), Reports of the International Ocean Colour Coordinating Group, No. 12, IOCCG, Dartmouth, Canada.</w:t>
      </w:r>
    </w:p>
    <w:p w:rsidR="00AB5790" w:rsidRDefault="00AB5790" w:rsidP="009867C5">
      <w:pPr>
        <w:pStyle w:val="Reference"/>
      </w:pPr>
      <w:r>
        <w:t>JMA URL 1, (2016)</w:t>
      </w:r>
      <w:r w:rsidR="00097435">
        <w:t>,</w:t>
      </w:r>
      <w:r w:rsidRPr="005D40D8">
        <w:t xml:space="preserve"> </w:t>
      </w:r>
      <w:hyperlink r:id="rId86" w:history="1">
        <w:r w:rsidRPr="00BA45A2">
          <w:rPr>
            <w:rStyle w:val="Hyperlink"/>
          </w:rPr>
          <w:t>http://www.data.jma.go.jp/mscweb/en/himawari89/cloud_service/cloud_service.html</w:t>
        </w:r>
      </w:hyperlink>
    </w:p>
    <w:p w:rsidR="00AB5790" w:rsidRDefault="00AB5790" w:rsidP="009867C5">
      <w:pPr>
        <w:pStyle w:val="Reference"/>
      </w:pPr>
      <w:r>
        <w:t>JMA URL 2, (2016)</w:t>
      </w:r>
    </w:p>
    <w:p w:rsidR="00AB5790" w:rsidRPr="005D40D8" w:rsidRDefault="00E27A82" w:rsidP="009867C5">
      <w:pPr>
        <w:pStyle w:val="Reference"/>
      </w:pPr>
      <w:hyperlink r:id="rId87" w:history="1">
        <w:r w:rsidR="00AB5790" w:rsidRPr="005D40D8">
          <w:rPr>
            <w:rStyle w:val="Hyperlink"/>
          </w:rPr>
          <w:t>http://www.data.jma.go.jp/mscweb/en/himawari89/cloud_service/fig/Brief_technical_information_on_accessing_HimawariCloud.pdf</w:t>
        </w:r>
      </w:hyperlink>
    </w:p>
    <w:p w:rsidR="00AB5790" w:rsidRDefault="00AB5790" w:rsidP="009867C5">
      <w:pPr>
        <w:pStyle w:val="Reference"/>
      </w:pPr>
      <w:r>
        <w:t xml:space="preserve">JMA URL 3, (2016) </w:t>
      </w:r>
      <w:hyperlink r:id="rId88" w:history="1">
        <w:r w:rsidRPr="00BA45A2">
          <w:rPr>
            <w:rStyle w:val="Hyperlink"/>
          </w:rPr>
          <w:t>http://www.data.jma.go.jp/mscweb/en/himawari89/himawari_cast/transition.html</w:t>
        </w:r>
      </w:hyperlink>
    </w:p>
    <w:p w:rsidR="00AB5790" w:rsidRPr="009867C5" w:rsidRDefault="00AB5790" w:rsidP="009867C5">
      <w:pPr>
        <w:pStyle w:val="Reference"/>
        <w:rPr>
          <w:rFonts w:asciiTheme="minorHAnsi" w:hAnsiTheme="minorHAnsi" w:cstheme="minorHAnsi"/>
        </w:rPr>
      </w:pPr>
      <w:r w:rsidRPr="00B335D7">
        <w:rPr>
          <w:rFonts w:asciiTheme="minorHAnsi" w:hAnsiTheme="minorHAnsi" w:cstheme="minorHAnsi"/>
        </w:rPr>
        <w:t>Jolivet D., Ramon D., Bernard E., Deschamps P.-Y., Riedi J., Nicolas J. M. and Hagolle O., 2008: Aerosol monitoring over land using MSG/SEVIRI. in: Proceeding of the EUMETSAT Meteorological Satellite Conference, Darmstadt, Germany, 8-12 September 2008</w:t>
      </w:r>
      <w:r>
        <w:rPr>
          <w:rFonts w:asciiTheme="minorHAnsi" w:hAnsiTheme="minorHAnsi" w:cstheme="minorHAnsi"/>
        </w:rPr>
        <w:t xml:space="preserve">, </w:t>
      </w:r>
      <w:r w:rsidRPr="00B335D7">
        <w:rPr>
          <w:rFonts w:asciiTheme="minorHAnsi" w:hAnsiTheme="minorHAnsi" w:cstheme="minorHAnsi"/>
        </w:rPr>
        <w:t>ISBN 978-92-9110-082-8 ISSN 1011-3932</w:t>
      </w:r>
      <w:r>
        <w:rPr>
          <w:rFonts w:asciiTheme="minorHAnsi" w:hAnsiTheme="minorHAnsi" w:cstheme="minorHAnsi"/>
        </w:rPr>
        <w:t>.</w:t>
      </w:r>
    </w:p>
    <w:p w:rsidR="009867C5" w:rsidRDefault="00AB5790" w:rsidP="009867C5">
      <w:pPr>
        <w:pStyle w:val="Reference"/>
        <w:rPr>
          <w:color w:val="auto"/>
          <w:szCs w:val="24"/>
          <w:lang w:eastAsia="en-US"/>
        </w:rPr>
      </w:pPr>
      <w:r>
        <w:rPr>
          <w:color w:val="auto"/>
          <w:szCs w:val="24"/>
          <w:lang w:eastAsia="en-US"/>
        </w:rPr>
        <w:t>Kalluri, S</w:t>
      </w:r>
      <w:r w:rsidRPr="0019004E">
        <w:rPr>
          <w:color w:val="auto"/>
          <w:szCs w:val="24"/>
          <w:lang w:eastAsia="en-US"/>
        </w:rPr>
        <w:t xml:space="preserve">, et al. </w:t>
      </w:r>
      <w:r w:rsidR="00097435">
        <w:rPr>
          <w:color w:val="auto"/>
          <w:szCs w:val="24"/>
          <w:lang w:eastAsia="en-US"/>
        </w:rPr>
        <w:t xml:space="preserve">(2015), </w:t>
      </w:r>
      <w:r w:rsidRPr="0019004E">
        <w:rPr>
          <w:color w:val="auto"/>
          <w:szCs w:val="24"/>
          <w:lang w:eastAsia="en-US"/>
        </w:rPr>
        <w:t xml:space="preserve">"A High Performance Remote Sensing Product Generation System Based on a Service Oriented Architecture for the Next Generation of Geostationary Operational Environmental Satellites." </w:t>
      </w:r>
      <w:r w:rsidRPr="0019004E">
        <w:rPr>
          <w:i/>
          <w:iCs/>
          <w:color w:val="auto"/>
          <w:szCs w:val="24"/>
          <w:lang w:eastAsia="en-US"/>
        </w:rPr>
        <w:t>Remote Sensing</w:t>
      </w:r>
      <w:r w:rsidR="00097435">
        <w:rPr>
          <w:color w:val="auto"/>
          <w:szCs w:val="24"/>
          <w:lang w:eastAsia="en-US"/>
        </w:rPr>
        <w:t xml:space="preserve"> 7.8,</w:t>
      </w:r>
      <w:r>
        <w:rPr>
          <w:color w:val="auto"/>
          <w:szCs w:val="24"/>
          <w:lang w:eastAsia="en-US"/>
        </w:rPr>
        <w:t xml:space="preserve"> 10385-10399</w:t>
      </w:r>
      <w:r w:rsidR="009867C5">
        <w:rPr>
          <w:color w:val="auto"/>
          <w:szCs w:val="24"/>
          <w:lang w:eastAsia="en-US"/>
        </w:rPr>
        <w:t>.</w:t>
      </w:r>
    </w:p>
    <w:p w:rsidR="0034005B" w:rsidRDefault="0034005B" w:rsidP="0034005B">
      <w:pPr>
        <w:pStyle w:val="Reference"/>
        <w:rPr>
          <w:rFonts w:asciiTheme="minorHAnsi" w:hAnsiTheme="minorHAnsi" w:cstheme="minorHAnsi"/>
        </w:rPr>
      </w:pPr>
      <w:r w:rsidRPr="00630150">
        <w:rPr>
          <w:rFonts w:asciiTheme="minorHAnsi" w:hAnsiTheme="minorHAnsi"/>
        </w:rPr>
        <w:t>Lazzara, M. A., Dworak, R., Santek, D. A., Hoover, B. T., Velden, C. S., &amp; Key, J. R. (2014). High-Latitude Atmospheric Motion Vectors from Composite Satellite Data. Journal of Applied Meteorology and Climatology, 53(2), 534–547.</w:t>
      </w:r>
    </w:p>
    <w:p w:rsidR="0034005B" w:rsidRPr="0034005B" w:rsidRDefault="0034005B" w:rsidP="0034005B">
      <w:pPr>
        <w:pStyle w:val="Reference"/>
        <w:rPr>
          <w:rStyle w:val="nlmstring-name"/>
          <w:rFonts w:asciiTheme="minorHAnsi" w:hAnsiTheme="minorHAnsi" w:cstheme="minorHAnsi"/>
        </w:rPr>
      </w:pPr>
      <w:r w:rsidRPr="00B335D7">
        <w:rPr>
          <w:rFonts w:asciiTheme="minorHAnsi" w:hAnsiTheme="minorHAnsi" w:cstheme="minorHAnsi"/>
        </w:rPr>
        <w:t xml:space="preserve">Le Borgne, P., Legendre, G., &amp; Péré, S. (2012). Comparison of MSG/SEVIRI and drifting buoy derived diurnal warming estimates. Remote Sensing of Environment, 124, 622–626. </w:t>
      </w:r>
    </w:p>
    <w:p w:rsidR="009867C5" w:rsidRDefault="00AB5790" w:rsidP="009867C5">
      <w:pPr>
        <w:pStyle w:val="Reference"/>
      </w:pPr>
      <w:r>
        <w:rPr>
          <w:rStyle w:val="nlmstring-name"/>
        </w:rPr>
        <w:t>Legendre</w:t>
      </w:r>
      <w:r>
        <w:t xml:space="preserve">, M., et al. "From MSG to MTG, Cost-Effective Operations of a Complex System", </w:t>
      </w:r>
      <w:r w:rsidRPr="0019004E">
        <w:rPr>
          <w:i/>
        </w:rPr>
        <w:t>SpaceOps 2010 Conference</w:t>
      </w:r>
      <w:r w:rsidR="009867C5">
        <w:t>.</w:t>
      </w:r>
    </w:p>
    <w:p w:rsidR="00630150" w:rsidRPr="0034005B" w:rsidRDefault="00AB5790" w:rsidP="0034005B">
      <w:pPr>
        <w:pStyle w:val="Reference"/>
        <w:rPr>
          <w:rFonts w:asciiTheme="minorHAnsi" w:hAnsiTheme="minorHAnsi" w:cstheme="minorHAnsi"/>
        </w:rPr>
      </w:pPr>
      <w:r w:rsidRPr="00B335D7">
        <w:rPr>
          <w:rFonts w:asciiTheme="minorHAnsi" w:hAnsiTheme="minorHAnsi" w:cstheme="minorHAnsi"/>
        </w:rPr>
        <w:t>Legeckis</w:t>
      </w:r>
      <w:r w:rsidR="0034005B">
        <w:rPr>
          <w:rFonts w:asciiTheme="minorHAnsi" w:hAnsiTheme="minorHAnsi" w:cstheme="minorHAnsi"/>
        </w:rPr>
        <w:t>, R.</w:t>
      </w:r>
      <w:r w:rsidRPr="00B335D7">
        <w:rPr>
          <w:rFonts w:asciiTheme="minorHAnsi" w:hAnsiTheme="minorHAnsi" w:cstheme="minorHAnsi"/>
        </w:rPr>
        <w:t xml:space="preserve"> and P. Le Borgne, 2009: EUMETSAT Geostationary Satellite Monitors the Sea Surface Temperatures of the Atlantic and Indian Oceans since 2004, Environmental Research, Engineeri</w:t>
      </w:r>
      <w:r>
        <w:rPr>
          <w:rFonts w:asciiTheme="minorHAnsi" w:hAnsiTheme="minorHAnsi" w:cstheme="minorHAnsi"/>
        </w:rPr>
        <w:t>ng and Management 3(49), P.4-8,</w:t>
      </w:r>
      <w:r w:rsidRPr="00B335D7">
        <w:rPr>
          <w:rFonts w:asciiTheme="minorHAnsi" w:hAnsiTheme="minorHAnsi" w:cstheme="minorHAnsi"/>
        </w:rPr>
        <w:t xml:space="preserve"> ISSN 1392-1649, 2009</w:t>
      </w:r>
      <w:r>
        <w:rPr>
          <w:rFonts w:asciiTheme="minorHAnsi" w:hAnsiTheme="minorHAnsi" w:cstheme="minorHAnsi"/>
        </w:rPr>
        <w:t>.</w:t>
      </w:r>
      <w:hyperlink r:id="rId89"/>
    </w:p>
    <w:p w:rsidR="009867C5" w:rsidRDefault="00630150" w:rsidP="009867C5">
      <w:pPr>
        <w:pStyle w:val="Reference"/>
      </w:pPr>
      <w:r w:rsidRPr="00902515">
        <w:rPr>
          <w:rFonts w:asciiTheme="minorHAnsi" w:hAnsiTheme="minorHAnsi"/>
          <w:lang w:val="de-DE"/>
        </w:rPr>
        <w:t xml:space="preserve">Li, F., Jupp, D. L. B., Reddy, S., Lymburner, L., Mueller, N., Tan, P., &amp; Islam, A. (2010). </w:t>
      </w:r>
      <w:r w:rsidRPr="00630150">
        <w:rPr>
          <w:rFonts w:asciiTheme="minorHAnsi" w:hAnsiTheme="minorHAnsi"/>
        </w:rPr>
        <w:t xml:space="preserve">An Evaluation of the Use of Atmospheric and BRDF Correction to Standardize Landsat Data. IEEE Journal of Selected Topics in Applied Earth Observations and Remote Sensing, 3(3), 257–270. </w:t>
      </w:r>
    </w:p>
    <w:p w:rsidR="00AB5790" w:rsidRPr="009867C5" w:rsidRDefault="00AB5790" w:rsidP="009867C5">
      <w:pPr>
        <w:pStyle w:val="Reference"/>
        <w:rPr>
          <w:rFonts w:asciiTheme="minorHAnsi" w:eastAsia="Times New Roman" w:hAnsiTheme="minorHAnsi" w:cstheme="minorHAnsi"/>
          <w:lang w:eastAsia="en-GB"/>
        </w:rPr>
      </w:pPr>
      <w:r w:rsidRPr="00B335D7">
        <w:rPr>
          <w:rFonts w:asciiTheme="minorHAnsi" w:eastAsia="Times New Roman" w:hAnsiTheme="minorHAnsi" w:cstheme="minorHAnsi"/>
          <w:color w:val="auto"/>
          <w:lang w:val="en-GB" w:eastAsia="en-GB"/>
        </w:rPr>
        <w:t>Mas</w:t>
      </w:r>
      <w:r w:rsidRPr="00B335D7">
        <w:rPr>
          <w:rFonts w:asciiTheme="minorHAnsi" w:eastAsia="Times New Roman" w:hAnsiTheme="minorHAnsi" w:cstheme="minorHAnsi"/>
          <w:lang w:eastAsia="en-GB"/>
        </w:rPr>
        <w:t xml:space="preserve">aya Takahashi and Arata Okuyama, 2015: </w:t>
      </w:r>
      <w:r w:rsidRPr="00B335D7">
        <w:rPr>
          <w:rFonts w:asciiTheme="minorHAnsi" w:eastAsia="Times New Roman" w:hAnsiTheme="minorHAnsi" w:cstheme="minorHAnsi"/>
          <w:color w:val="auto"/>
          <w:lang w:val="en-GB" w:eastAsia="en-GB"/>
        </w:rPr>
        <w:t>Visible Channel Calibration of JMA’s Geostationary Satellites using the Moon Images</w:t>
      </w:r>
      <w:r w:rsidRPr="00B335D7">
        <w:rPr>
          <w:rFonts w:asciiTheme="minorHAnsi" w:eastAsia="Times New Roman" w:hAnsiTheme="minorHAnsi" w:cstheme="minorHAnsi"/>
          <w:lang w:eastAsia="en-GB"/>
        </w:rPr>
        <w:t xml:space="preserve"> .</w:t>
      </w:r>
      <w:r w:rsidRPr="00B335D7">
        <w:rPr>
          <w:rFonts w:asciiTheme="minorHAnsi" w:eastAsia="Times New Roman" w:hAnsiTheme="minorHAnsi" w:cstheme="minorHAnsi"/>
          <w:color w:val="auto"/>
          <w:lang w:val="en-GB" w:eastAsia="en-GB"/>
        </w:rPr>
        <w:t>The Sixth Asia/Oceania Meteorological Satellite Users' Confere</w:t>
      </w:r>
      <w:r w:rsidRPr="00B335D7">
        <w:rPr>
          <w:rFonts w:asciiTheme="minorHAnsi" w:eastAsia="Times New Roman" w:hAnsiTheme="minorHAnsi" w:cstheme="minorHAnsi"/>
          <w:lang w:eastAsia="en-GB"/>
        </w:rPr>
        <w:t xml:space="preserve">nce, 9 –13 November 2015, Tokyo, </w:t>
      </w:r>
      <w:r w:rsidRPr="00B335D7">
        <w:rPr>
          <w:rFonts w:asciiTheme="minorHAnsi" w:eastAsia="Times New Roman" w:hAnsiTheme="minorHAnsi" w:cstheme="minorHAnsi"/>
          <w:color w:val="auto"/>
          <w:lang w:val="en-GB" w:eastAsia="en-GB"/>
        </w:rPr>
        <w:t>Japan</w:t>
      </w:r>
      <w:r w:rsidRPr="00B335D7">
        <w:rPr>
          <w:rFonts w:asciiTheme="minorHAnsi" w:eastAsia="Times New Roman" w:hAnsiTheme="minorHAnsi" w:cstheme="minorHAnsi"/>
          <w:lang w:eastAsia="en-GB"/>
        </w:rPr>
        <w:t>.</w:t>
      </w:r>
    </w:p>
    <w:p w:rsidR="00AB5790" w:rsidRDefault="00630150" w:rsidP="009867C5">
      <w:pPr>
        <w:pStyle w:val="Reference"/>
      </w:pPr>
      <w:r w:rsidRPr="00630150">
        <w:rPr>
          <w:rFonts w:asciiTheme="minorHAnsi" w:hAnsiTheme="minorHAnsi"/>
        </w:rPr>
        <w:t xml:space="preserve">Minnis, P., Nguyen, L., Doelling, D. R., Young, D. F., Miller, W. F., &amp; Kratz, D. P. (2002). Rapid Calibration of Operational and Research Meteorological Satellite Imagers. Part I: Evaluation of Research Satellite Visible Channels as References. Journal of Atmospheric and Oceanic Technology, 19(9), 1233–1249. </w:t>
      </w:r>
    </w:p>
    <w:p w:rsidR="00AB5790" w:rsidRPr="009867C5" w:rsidRDefault="00AB5790" w:rsidP="009867C5">
      <w:pPr>
        <w:pStyle w:val="Reference"/>
        <w:rPr>
          <w:rFonts w:asciiTheme="minorHAnsi" w:hAnsiTheme="minorHAnsi" w:cstheme="minorHAnsi"/>
        </w:rPr>
      </w:pPr>
      <w:r w:rsidRPr="00B335D7">
        <w:rPr>
          <w:rFonts w:asciiTheme="minorHAnsi" w:hAnsiTheme="minorHAnsi" w:cstheme="minorHAnsi"/>
        </w:rPr>
        <w:t xml:space="preserve">Murakami, H. (2016). Ocean color estimation by Himawari-8/AHI. Remote Sensing of the Oceans and Inland Waters: Techniques, Applications, and Challenges. </w:t>
      </w:r>
    </w:p>
    <w:p w:rsidR="00AB5790" w:rsidRPr="009867C5" w:rsidRDefault="00AB5790" w:rsidP="009867C5">
      <w:pPr>
        <w:pStyle w:val="Reference"/>
        <w:rPr>
          <w:rFonts w:asciiTheme="minorHAnsi" w:hAnsiTheme="minorHAnsi" w:cstheme="minorHAnsi"/>
        </w:rPr>
      </w:pPr>
      <w:r w:rsidRPr="00B335D7">
        <w:rPr>
          <w:rFonts w:asciiTheme="minorHAnsi" w:hAnsiTheme="minorHAnsi" w:cstheme="minorHAnsi"/>
        </w:rPr>
        <w:t xml:space="preserve">Neukermans, G., Ruddick, K., Bernard, E., Ramon, D., Nechad, B., &amp; Deschamps, P.-Y. (2009). Mapping total suspended matter from geostationary satellites: a feasibility study with SEVIRI in the Southern North Sea. Optics Express, 17(16), 14029. </w:t>
      </w:r>
    </w:p>
    <w:p w:rsidR="00AB5790" w:rsidRPr="00E11AAE" w:rsidRDefault="00AB5790" w:rsidP="009867C5">
      <w:pPr>
        <w:pStyle w:val="Reference"/>
        <w:rPr>
          <w:rFonts w:asciiTheme="minorHAnsi" w:hAnsiTheme="minorHAnsi" w:cstheme="minorHAnsi"/>
        </w:rPr>
      </w:pPr>
      <w:r w:rsidRPr="00B335D7">
        <w:rPr>
          <w:rFonts w:asciiTheme="minorHAnsi" w:hAnsiTheme="minorHAnsi" w:cstheme="minorHAnsi"/>
        </w:rPr>
        <w:t>Neukermans G., 2012: Optical in situ and geostationary satellite-borne observations of suspended particles in coastal waters. Ph.D. dissertation, Université du Littoral Côte d’Opale, France, ISBN 978 90 7028 949 2</w:t>
      </w:r>
      <w:r w:rsidR="009867C5">
        <w:rPr>
          <w:rFonts w:asciiTheme="minorHAnsi" w:hAnsiTheme="minorHAnsi" w:cstheme="minorHAnsi"/>
        </w:rPr>
        <w:t>.</w:t>
      </w:r>
    </w:p>
    <w:p w:rsidR="009867C5" w:rsidRDefault="00AB5790" w:rsidP="009867C5">
      <w:pPr>
        <w:pStyle w:val="Reference"/>
        <w:rPr>
          <w:rFonts w:asciiTheme="minorHAnsi" w:hAnsiTheme="minorHAnsi" w:cstheme="minorHAnsi"/>
        </w:rPr>
      </w:pPr>
      <w:r w:rsidRPr="00B335D7">
        <w:rPr>
          <w:rFonts w:asciiTheme="minorHAnsi" w:hAnsiTheme="minorHAnsi" w:cstheme="minorHAnsi"/>
        </w:rPr>
        <w:t xml:space="preserve">Nigam, R., Bhattacharya, B. K., Gunjal, K. R., Padmanabhan, N., &amp; Patel, N. K. (2011). Formulation of Time Series Vegetation Index from Indian Geostationary Satellite and Comparison with Global Product. J Indian Soc Remote Sens, 40(1), 1–9. </w:t>
      </w:r>
    </w:p>
    <w:p w:rsidR="00AB5790" w:rsidRPr="00E11AAE" w:rsidRDefault="00AB5790" w:rsidP="009867C5">
      <w:pPr>
        <w:pStyle w:val="Reference"/>
        <w:rPr>
          <w:rFonts w:asciiTheme="minorHAnsi" w:hAnsiTheme="minorHAnsi" w:cstheme="minorHAnsi"/>
          <w:lang w:eastAsia="en-GB"/>
        </w:rPr>
      </w:pPr>
      <w:r w:rsidRPr="00B335D7">
        <w:rPr>
          <w:rFonts w:asciiTheme="minorHAnsi" w:hAnsiTheme="minorHAnsi" w:cstheme="minorHAnsi"/>
        </w:rPr>
        <w:lastRenderedPageBreak/>
        <w:t>Pavolonis M., 2015: The WMO Satellite-derived Volcanic-Ash Intercomparison Activity - Capabilities and Challenges for Operational Applications, 7</w:t>
      </w:r>
      <w:r w:rsidRPr="00B335D7">
        <w:rPr>
          <w:rFonts w:asciiTheme="minorHAnsi" w:hAnsiTheme="minorHAnsi" w:cstheme="minorHAnsi"/>
          <w:vertAlign w:val="superscript"/>
        </w:rPr>
        <w:t>t</w:t>
      </w:r>
      <w:r w:rsidRPr="00B335D7">
        <w:rPr>
          <w:rFonts w:asciiTheme="minorHAnsi" w:eastAsia="Times New Roman" w:hAnsiTheme="minorHAnsi" w:cstheme="minorHAnsi"/>
          <w:vertAlign w:val="superscript"/>
          <w:lang w:eastAsia="en-GB"/>
        </w:rPr>
        <w:t>h</w:t>
      </w:r>
      <w:r w:rsidRPr="00B335D7">
        <w:rPr>
          <w:rFonts w:asciiTheme="minorHAnsi" w:eastAsia="Times New Roman" w:hAnsiTheme="minorHAnsi" w:cstheme="minorHAnsi"/>
          <w:lang w:eastAsia="en-GB"/>
        </w:rPr>
        <w:t xml:space="preserve"> WMO International Workshop on Volcanic Ash, </w:t>
      </w:r>
      <w:r w:rsidRPr="00B335D7">
        <w:rPr>
          <w:rFonts w:asciiTheme="minorHAnsi" w:hAnsiTheme="minorHAnsi" w:cstheme="minorHAnsi"/>
          <w:lang w:eastAsia="en-GB"/>
        </w:rPr>
        <w:t>Anchorage, Alaska, USA, 19-23 October 2015</w:t>
      </w:r>
      <w:r w:rsidR="009867C5">
        <w:rPr>
          <w:rFonts w:asciiTheme="minorHAnsi" w:hAnsiTheme="minorHAnsi" w:cstheme="minorHAnsi"/>
          <w:lang w:eastAsia="en-GB"/>
        </w:rPr>
        <w:t>.</w:t>
      </w:r>
    </w:p>
    <w:p w:rsidR="00AB5790" w:rsidRPr="009867C5" w:rsidRDefault="00AB5790" w:rsidP="009867C5">
      <w:pPr>
        <w:pStyle w:val="Reference"/>
        <w:rPr>
          <w:rFonts w:asciiTheme="minorHAnsi" w:hAnsiTheme="minorHAnsi" w:cstheme="minorHAnsi"/>
        </w:rPr>
      </w:pPr>
      <w:r w:rsidRPr="00B335D7">
        <w:rPr>
          <w:rFonts w:asciiTheme="minorHAnsi" w:hAnsiTheme="minorHAnsi" w:cstheme="minorHAnsi"/>
        </w:rPr>
        <w:t>Roberts, G., Wooster, M. J., Xu, W., Freeborn, P. H., Morcrette, J.-J., Jones, L., … Kaiser, J. W. (2015). LSA SAF Meteosat FRP products – Part 2: Evaluation and demonstration for use in the Copernicus Atmosphere Monitoring Service (CAMS). Atmos. Ch</w:t>
      </w:r>
      <w:r w:rsidR="009867C5">
        <w:rPr>
          <w:rFonts w:asciiTheme="minorHAnsi" w:hAnsiTheme="minorHAnsi" w:cstheme="minorHAnsi"/>
        </w:rPr>
        <w:t>em. Phys., 15(22), 13241–13267.</w:t>
      </w:r>
    </w:p>
    <w:p w:rsidR="009867C5" w:rsidRDefault="00AB5790" w:rsidP="009867C5">
      <w:pPr>
        <w:pStyle w:val="Reference"/>
        <w:rPr>
          <w:rFonts w:asciiTheme="minorHAnsi" w:eastAsia="Times New Roman" w:hAnsiTheme="minorHAnsi" w:cstheme="minorHAnsi"/>
          <w:sz w:val="20"/>
          <w:szCs w:val="20"/>
          <w:lang w:eastAsia="en-GB"/>
        </w:rPr>
      </w:pPr>
      <w:r w:rsidRPr="00B335D7">
        <w:rPr>
          <w:rFonts w:asciiTheme="minorHAnsi" w:eastAsia="Times New Roman" w:hAnsiTheme="minorHAnsi" w:cstheme="minorHAnsi"/>
          <w:sz w:val="20"/>
          <w:szCs w:val="20"/>
          <w:lang w:eastAsia="en-GB"/>
        </w:rPr>
        <w:t>Romano, F., Ricciardelli, E., Cimini, D., Di Paola, F., &amp; Viggiano, M. (2013). Dust Detection and Optical Depth Retrieval Using MSG</w:t>
      </w:r>
      <w:r w:rsidRPr="00B335D7">
        <w:rPr>
          <w:rFonts w:asciiTheme="minorHAnsi" w:eastAsia="Times New Roman" w:hAnsiTheme="minorHAnsi" w:cstheme="minorHAnsi"/>
          <w:sz w:val="20"/>
          <w:szCs w:val="20"/>
          <w:lang w:eastAsia="en-GB"/>
        </w:rPr>
        <w:noBreakHyphen/>
        <w:t xml:space="preserve">SEVIRI Data. Atmosphere, 4(1), 35–47. </w:t>
      </w:r>
    </w:p>
    <w:p w:rsidR="00AB5790" w:rsidRPr="009867C5" w:rsidRDefault="00AB5790" w:rsidP="009867C5">
      <w:pPr>
        <w:pStyle w:val="Reference"/>
        <w:rPr>
          <w:i/>
          <w:color w:val="auto"/>
          <w:szCs w:val="24"/>
          <w:lang w:eastAsia="en-US"/>
        </w:rPr>
      </w:pPr>
      <w:r w:rsidRPr="005559D8">
        <w:rPr>
          <w:color w:val="auto"/>
          <w:szCs w:val="24"/>
          <w:lang w:val="en-US" w:eastAsia="en-US"/>
        </w:rPr>
        <w:t xml:space="preserve">Schmit, T. J., et al. </w:t>
      </w:r>
      <w:r w:rsidRPr="0019004E">
        <w:rPr>
          <w:color w:val="auto"/>
          <w:szCs w:val="24"/>
          <w:lang w:eastAsia="en-US"/>
        </w:rPr>
        <w:t xml:space="preserve">"Introducing the next-generation Advanced Baseline Imager on GOES-R." </w:t>
      </w:r>
      <w:r w:rsidRPr="0019004E">
        <w:rPr>
          <w:i/>
          <w:iCs/>
          <w:color w:val="auto"/>
          <w:szCs w:val="24"/>
          <w:lang w:eastAsia="en-US"/>
        </w:rPr>
        <w:t>Bulletin of the American Meteorological Society</w:t>
      </w:r>
      <w:r w:rsidRPr="0019004E">
        <w:rPr>
          <w:color w:val="auto"/>
          <w:szCs w:val="24"/>
          <w:lang w:eastAsia="en-US"/>
        </w:rPr>
        <w:t xml:space="preserve"> 86.8 (2005): 1079.</w:t>
      </w:r>
      <w:r>
        <w:rPr>
          <w:color w:val="auto"/>
          <w:szCs w:val="24"/>
          <w:lang w:eastAsia="en-US"/>
        </w:rPr>
        <w:t xml:space="preserve"> </w:t>
      </w:r>
    </w:p>
    <w:p w:rsidR="00AB5790" w:rsidRPr="00E11AAE" w:rsidRDefault="00AB5790" w:rsidP="009867C5">
      <w:pPr>
        <w:pStyle w:val="Reference"/>
        <w:rPr>
          <w:rFonts w:asciiTheme="minorHAnsi" w:hAnsiTheme="minorHAnsi" w:cstheme="minorHAnsi"/>
        </w:rPr>
      </w:pPr>
      <w:r w:rsidRPr="00B335D7">
        <w:rPr>
          <w:rFonts w:asciiTheme="minorHAnsi" w:hAnsiTheme="minorHAnsi" w:cstheme="minorHAnsi"/>
        </w:rPr>
        <w:t xml:space="preserve">Temimi, M., Romanov, P., Ghedira, H., Khanbilvardi, R., &amp; Smith, K. (2011). Sea-ice monitoring over the Caspian Sea using geostationary satellite data. International Journal of Remote Sensing, 32(6), 1575–1593. </w:t>
      </w:r>
    </w:p>
    <w:p w:rsidR="00AB5790" w:rsidRPr="00E11AAE" w:rsidRDefault="00AB5790" w:rsidP="009867C5">
      <w:pPr>
        <w:pStyle w:val="Reference"/>
        <w:rPr>
          <w:rFonts w:asciiTheme="minorHAnsi" w:hAnsiTheme="minorHAnsi" w:cstheme="minorHAnsi"/>
        </w:rPr>
      </w:pPr>
      <w:r w:rsidRPr="00B335D7">
        <w:rPr>
          <w:rFonts w:asciiTheme="minorHAnsi" w:hAnsiTheme="minorHAnsi" w:cstheme="minorHAnsi"/>
        </w:rPr>
        <w:t xml:space="preserve">Trentmann J., Müller R. W., Posselt R. and Stöckl R., 2013: Satellite-based surface solar radiation data provided by CM SAF – Solar energy applications, </w:t>
      </w:r>
      <w:r w:rsidRPr="00B335D7">
        <w:rPr>
          <w:rStyle w:val="cofunctiongetcustomerdata"/>
          <w:rFonts w:asciiTheme="minorHAnsi" w:hAnsiTheme="minorHAnsi" w:cstheme="minorHAnsi"/>
        </w:rPr>
        <w:t>European Geosciences Union</w:t>
      </w:r>
      <w:r w:rsidRPr="00B335D7">
        <w:rPr>
          <w:rFonts w:asciiTheme="minorHAnsi" w:hAnsiTheme="minorHAnsi" w:cstheme="minorHAnsi"/>
        </w:rPr>
        <w:t xml:space="preserve"> General Assembly 2013, Vienna, Austria 07 – 12 April 2013</w:t>
      </w:r>
      <w:r w:rsidR="009867C5">
        <w:rPr>
          <w:rFonts w:asciiTheme="minorHAnsi" w:hAnsiTheme="minorHAnsi" w:cstheme="minorHAnsi"/>
        </w:rPr>
        <w:t>.</w:t>
      </w:r>
    </w:p>
    <w:p w:rsidR="00630150" w:rsidRPr="009867C5" w:rsidRDefault="00AB5790" w:rsidP="009867C5">
      <w:pPr>
        <w:pStyle w:val="Reference"/>
        <w:rPr>
          <w:rFonts w:asciiTheme="minorHAnsi" w:hAnsiTheme="minorHAnsi" w:cstheme="minorHAnsi"/>
        </w:rPr>
      </w:pPr>
      <w:r w:rsidRPr="00B335D7">
        <w:rPr>
          <w:rFonts w:asciiTheme="minorHAnsi" w:hAnsiTheme="minorHAnsi" w:cstheme="minorHAnsi"/>
        </w:rPr>
        <w:t>Vanhellemont Q., Neukermans, G., and Ruddick K.: High frequency measurement of suspended sediments and coccolithophores in European and African coastal waters from the geostationary SEVIRI sensor, in: Proceedings of the EUMETSAT Meteorological Satellite Conference &amp; 19</w:t>
      </w:r>
      <w:r w:rsidRPr="00B335D7">
        <w:rPr>
          <w:rFonts w:asciiTheme="minorHAnsi" w:hAnsiTheme="minorHAnsi" w:cstheme="minorHAnsi"/>
          <w:vertAlign w:val="superscript"/>
        </w:rPr>
        <w:t>th</w:t>
      </w:r>
      <w:r w:rsidRPr="00B335D7">
        <w:rPr>
          <w:rFonts w:asciiTheme="minorHAnsi" w:hAnsiTheme="minorHAnsi" w:cstheme="minorHAnsi"/>
        </w:rPr>
        <w:t xml:space="preserve"> American Meteorological Society (AMS) Satellite Meteorology,</w:t>
      </w:r>
      <w:r w:rsidR="009867C5">
        <w:rPr>
          <w:rFonts w:asciiTheme="minorHAnsi" w:hAnsiTheme="minorHAnsi" w:cstheme="minorHAnsi"/>
        </w:rPr>
        <w:t xml:space="preserve"> </w:t>
      </w:r>
      <w:r w:rsidRPr="00B335D7">
        <w:rPr>
          <w:rFonts w:asciiTheme="minorHAnsi" w:hAnsiTheme="minorHAnsi" w:cstheme="minorHAnsi"/>
        </w:rPr>
        <w:t xml:space="preserve">Oceanography, and Climatology Conference, Vienna, Austria,16–20 September 2013,  </w:t>
      </w:r>
      <w:r w:rsidRPr="00B335D7">
        <w:rPr>
          <w:rStyle w:val="A3"/>
          <w:rFonts w:asciiTheme="minorHAnsi" w:hAnsiTheme="minorHAnsi" w:cstheme="minorHAnsi"/>
          <w:sz w:val="22"/>
          <w:szCs w:val="22"/>
        </w:rPr>
        <w:t>EUM P.62</w:t>
      </w:r>
      <w:r w:rsidR="009867C5">
        <w:rPr>
          <w:rStyle w:val="A3"/>
          <w:rFonts w:asciiTheme="minorHAnsi" w:hAnsiTheme="minorHAnsi" w:cstheme="minorHAnsi"/>
          <w:sz w:val="22"/>
          <w:szCs w:val="22"/>
        </w:rPr>
        <w:t>.</w:t>
      </w:r>
      <w:hyperlink r:id="rId90"/>
    </w:p>
    <w:p w:rsidR="00630150" w:rsidRPr="00630150" w:rsidRDefault="009867C5" w:rsidP="009867C5">
      <w:pPr>
        <w:pStyle w:val="Reference"/>
        <w:rPr>
          <w:rFonts w:asciiTheme="minorHAnsi" w:hAnsiTheme="minorHAnsi"/>
        </w:rPr>
      </w:pPr>
      <w:r>
        <w:rPr>
          <w:rFonts w:asciiTheme="minorHAnsi" w:hAnsiTheme="minorHAnsi"/>
          <w:lang w:val="de-DE"/>
        </w:rPr>
        <w:t>Vermote, E., &amp; Kaufmann</w:t>
      </w:r>
      <w:r w:rsidR="00630150" w:rsidRPr="00902515">
        <w:rPr>
          <w:rFonts w:asciiTheme="minorHAnsi" w:hAnsiTheme="minorHAnsi"/>
          <w:lang w:val="de-DE"/>
        </w:rPr>
        <w:t xml:space="preserve">, Y. J. (1995). </w:t>
      </w:r>
      <w:r w:rsidR="00630150" w:rsidRPr="00630150">
        <w:rPr>
          <w:rFonts w:asciiTheme="minorHAnsi" w:hAnsiTheme="minorHAnsi"/>
        </w:rPr>
        <w:t>Absolute calibration of AVHRR visible and near-infrared channels using ocean and cloud views. International Journal of Re</w:t>
      </w:r>
      <w:r>
        <w:rPr>
          <w:rFonts w:asciiTheme="minorHAnsi" w:hAnsiTheme="minorHAnsi"/>
        </w:rPr>
        <w:t>mote Sensing, 16(13), 2317–2340.</w:t>
      </w:r>
    </w:p>
    <w:p w:rsidR="003B3948" w:rsidRPr="009867C5" w:rsidRDefault="00630150" w:rsidP="009867C5">
      <w:pPr>
        <w:pStyle w:val="Reference"/>
        <w:rPr>
          <w:rFonts w:asciiTheme="minorHAnsi" w:hAnsiTheme="minorHAnsi"/>
        </w:rPr>
      </w:pPr>
      <w:r w:rsidRPr="00630150">
        <w:rPr>
          <w:rFonts w:asciiTheme="minorHAnsi" w:hAnsiTheme="minorHAnsi"/>
        </w:rPr>
        <w:t xml:space="preserve">Xiong, X., and W. Barnes (2006), An Overview of MODIS Radiometric Calibration and Characterization, </w:t>
      </w:r>
      <w:r w:rsidRPr="00630150">
        <w:rPr>
          <w:rFonts w:asciiTheme="minorHAnsi" w:hAnsiTheme="minorHAnsi"/>
          <w:i/>
        </w:rPr>
        <w:t>Advances in Atmospheric Sciences</w:t>
      </w:r>
      <w:r w:rsidRPr="00630150">
        <w:rPr>
          <w:rFonts w:asciiTheme="minorHAnsi" w:hAnsiTheme="minorHAnsi"/>
        </w:rPr>
        <w:t xml:space="preserve">, </w:t>
      </w:r>
      <w:r w:rsidRPr="00630150">
        <w:rPr>
          <w:rFonts w:asciiTheme="minorHAnsi" w:hAnsiTheme="minorHAnsi"/>
          <w:i/>
        </w:rPr>
        <w:t>23</w:t>
      </w:r>
      <w:r w:rsidRPr="00630150">
        <w:rPr>
          <w:rFonts w:asciiTheme="minorHAnsi" w:hAnsiTheme="minorHAnsi"/>
        </w:rPr>
        <w:t>, 69–79.</w:t>
      </w:r>
    </w:p>
    <w:p w:rsidR="002D15AB" w:rsidRPr="009867C5" w:rsidRDefault="003B3948" w:rsidP="009867C5">
      <w:pPr>
        <w:pStyle w:val="Reference"/>
      </w:pPr>
      <w:r w:rsidRPr="00F8592A">
        <w:t xml:space="preserve">Xie, P., and Arkin, P. A., 1996: Analyses of global monthly precipitation using gauge observations, satellite estimates, and numerical model predictions, </w:t>
      </w:r>
      <w:r w:rsidRPr="00F8592A">
        <w:rPr>
          <w:i/>
          <w:iCs/>
        </w:rPr>
        <w:t>Journal of Climate</w:t>
      </w:r>
      <w:r w:rsidRPr="00F8592A">
        <w:t xml:space="preserve">, </w:t>
      </w:r>
      <w:r w:rsidRPr="00F8592A">
        <w:rPr>
          <w:b/>
          <w:bCs/>
        </w:rPr>
        <w:t>9</w:t>
      </w:r>
      <w:r w:rsidRPr="00F8592A">
        <w:t xml:space="preserve">, 840-858. </w:t>
      </w:r>
    </w:p>
    <w:p w:rsidR="002D15AB" w:rsidRPr="00A47FC5" w:rsidRDefault="002D15AB" w:rsidP="002D15AB">
      <w:pPr>
        <w:rPr>
          <w:rFonts w:ascii="Arial" w:hAnsi="Arial" w:cs="Arial"/>
        </w:rPr>
      </w:pPr>
    </w:p>
    <w:p w:rsidR="002D15AB" w:rsidRPr="00E11AAE" w:rsidRDefault="002D15AB" w:rsidP="002D15AB">
      <w:pPr>
        <w:rPr>
          <w:rFonts w:asciiTheme="minorHAnsi" w:hAnsiTheme="minorHAnsi" w:cstheme="minorHAnsi"/>
        </w:rPr>
      </w:pPr>
    </w:p>
    <w:p w:rsidR="002D15AB" w:rsidRPr="00A47FC5" w:rsidRDefault="002D15AB" w:rsidP="002D15AB">
      <w:pPr>
        <w:rPr>
          <w:rFonts w:ascii="Arial" w:hAnsi="Arial" w:cs="Arial"/>
        </w:rPr>
      </w:pPr>
    </w:p>
    <w:p w:rsidR="002D15AB" w:rsidRPr="00E11AAE" w:rsidRDefault="002D15AB" w:rsidP="002D15AB">
      <w:pPr>
        <w:rPr>
          <w:rFonts w:asciiTheme="minorHAnsi" w:hAnsiTheme="minorHAnsi" w:cstheme="minorHAnsi"/>
        </w:rPr>
      </w:pPr>
    </w:p>
    <w:p w:rsidR="002D15AB" w:rsidRPr="00E11AAE" w:rsidRDefault="002D15AB" w:rsidP="002D15AB">
      <w:pPr>
        <w:rPr>
          <w:rFonts w:asciiTheme="minorHAnsi" w:hAnsiTheme="minorHAnsi" w:cstheme="minorHAnsi"/>
          <w:b/>
        </w:rPr>
      </w:pPr>
    </w:p>
    <w:p w:rsidR="002D15AB" w:rsidRPr="00A47FC5" w:rsidRDefault="002D15AB" w:rsidP="002D15AB">
      <w:pPr>
        <w:rPr>
          <w:rFonts w:ascii="Arial" w:hAnsi="Arial" w:cs="Arial"/>
        </w:rPr>
      </w:pPr>
    </w:p>
    <w:p w:rsidR="002D15AB" w:rsidRPr="00E11AAE" w:rsidRDefault="002D15AB" w:rsidP="002D15AB">
      <w:pPr>
        <w:rPr>
          <w:rFonts w:asciiTheme="minorHAnsi" w:eastAsia="Times New Roman" w:hAnsiTheme="minorHAnsi" w:cstheme="minorHAnsi"/>
          <w:lang w:eastAsia="en-GB"/>
        </w:rPr>
      </w:pPr>
    </w:p>
    <w:p w:rsidR="002D15AB" w:rsidRPr="00A47FC5" w:rsidRDefault="002D15AB" w:rsidP="002D15AB">
      <w:pPr>
        <w:rPr>
          <w:rFonts w:ascii="Arial" w:hAnsi="Arial" w:cs="Arial"/>
          <w:b/>
        </w:rPr>
      </w:pPr>
    </w:p>
    <w:p w:rsidR="002D15AB" w:rsidRPr="00A47FC5" w:rsidRDefault="002D15AB" w:rsidP="002D15AB">
      <w:pPr>
        <w:rPr>
          <w:rFonts w:ascii="Arial" w:hAnsi="Arial" w:cs="Arial"/>
          <w:bCs/>
          <w:color w:val="41B6E6"/>
        </w:rPr>
      </w:pPr>
    </w:p>
    <w:p w:rsidR="002D15AB" w:rsidRPr="00A47FC5" w:rsidRDefault="002D15AB" w:rsidP="002D15AB">
      <w:pPr>
        <w:rPr>
          <w:rFonts w:ascii="Arial" w:hAnsi="Arial" w:cs="Arial"/>
        </w:rPr>
      </w:pPr>
    </w:p>
    <w:p w:rsidR="002D15AB" w:rsidRPr="002D15AB" w:rsidRDefault="002D15AB" w:rsidP="002D15AB">
      <w:pPr>
        <w:rPr>
          <w:rFonts w:asciiTheme="minorHAnsi" w:hAnsiTheme="minorHAnsi" w:cstheme="minorHAnsi"/>
        </w:rPr>
      </w:pPr>
    </w:p>
    <w:p w:rsidR="002D15AB" w:rsidRPr="00E11AAE" w:rsidRDefault="002D15AB" w:rsidP="002D15AB">
      <w:pPr>
        <w:rPr>
          <w:rFonts w:asciiTheme="minorHAnsi" w:hAnsiTheme="minorHAnsi" w:cstheme="minorHAnsi"/>
        </w:rPr>
      </w:pPr>
    </w:p>
    <w:p w:rsidR="004866A9" w:rsidRDefault="004866A9" w:rsidP="002D15AB">
      <w:pPr>
        <w:rPr>
          <w:rFonts w:asciiTheme="minorHAnsi" w:eastAsia="Times New Roman" w:hAnsiTheme="minorHAnsi" w:cstheme="minorHAnsi"/>
          <w:lang w:eastAsia="en-GB"/>
        </w:rPr>
      </w:pPr>
    </w:p>
    <w:p w:rsidR="00B42530" w:rsidRDefault="00B42530" w:rsidP="00B42530">
      <w:pPr>
        <w:rPr>
          <w:rFonts w:ascii="Arial" w:eastAsia="Cambria" w:hAnsi="Arial" w:cs="Arial"/>
          <w:bCs/>
        </w:rPr>
      </w:pPr>
    </w:p>
    <w:p w:rsidR="005D40D8" w:rsidRPr="005D40D8" w:rsidRDefault="005D40D8">
      <w:pPr>
        <w:pStyle w:val="BackCoverContactHeading"/>
        <w:rPr>
          <w:color w:val="auto"/>
          <w:sz w:val="22"/>
          <w:szCs w:val="22"/>
        </w:rPr>
      </w:pPr>
    </w:p>
    <w:sectPr w:rsidR="005D40D8" w:rsidRPr="005D40D8" w:rsidSect="00071B54">
      <w:headerReference w:type="default" r:id="rId91"/>
      <w:type w:val="evenPage"/>
      <w:pgSz w:w="11906" w:h="16838" w:code="9"/>
      <w:pgMar w:top="1134" w:right="1134" w:bottom="1134" w:left="1134" w:header="510" w:footer="624" w:gutter="0"/>
      <w:cols w:space="28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5ADB" w:rsidRDefault="00E65ADB" w:rsidP="009964E7">
      <w:r>
        <w:separator/>
      </w:r>
    </w:p>
    <w:p w:rsidR="00E65ADB" w:rsidRDefault="00E65ADB"/>
    <w:p w:rsidR="00E65ADB" w:rsidRDefault="00E65ADB"/>
  </w:endnote>
  <w:endnote w:type="continuationSeparator" w:id="1">
    <w:p w:rsidR="00E65ADB" w:rsidRDefault="00E65ADB" w:rsidP="009964E7">
      <w:r>
        <w:continuationSeparator/>
      </w:r>
    </w:p>
    <w:p w:rsidR="00E65ADB" w:rsidRDefault="00E65ADB"/>
    <w:p w:rsidR="00E65ADB" w:rsidRDefault="00E65ADB"/>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Feijoa Medium">
    <w:altName w:val="Arial"/>
    <w:panose1 w:val="00000000000000000000"/>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E0002AFF" w:usb1="C0007841" w:usb2="00000009" w:usb3="00000000" w:csb0="000001FF" w:csb1="00000000"/>
  </w:font>
  <w:font w:name="NettoOT-Light">
    <w:altName w:val="NettoOT-Ligh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ArialMT">
    <w:altName w:val="MS Mincho"/>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CellMar>
        <w:left w:w="0" w:type="dxa"/>
        <w:right w:w="0" w:type="dxa"/>
      </w:tblCellMar>
      <w:tblLook w:val="00A0"/>
    </w:tblPr>
    <w:tblGrid>
      <w:gridCol w:w="9239"/>
    </w:tblGrid>
    <w:tr w:rsidR="00E65ADB" w:rsidRPr="00CD5B9E" w:rsidTr="00CD5B9E">
      <w:trPr>
        <w:trHeight w:hRule="exact" w:val="737"/>
      </w:trPr>
      <w:tc>
        <w:tcPr>
          <w:tcW w:w="9239" w:type="dxa"/>
          <w:vAlign w:val="bottom"/>
        </w:tcPr>
        <w:p w:rsidR="00E65ADB" w:rsidRPr="00CD5B9E" w:rsidRDefault="00E65ADB" w:rsidP="00782488">
          <w:pPr>
            <w:pStyle w:val="Footer"/>
          </w:pPr>
        </w:p>
      </w:tc>
    </w:tr>
    <w:tr w:rsidR="00E65ADB" w:rsidRPr="00CD5B9E" w:rsidTr="00CD5B9E">
      <w:trPr>
        <w:trHeight w:val="113"/>
      </w:trPr>
      <w:tc>
        <w:tcPr>
          <w:tcW w:w="9239" w:type="dxa"/>
        </w:tcPr>
        <w:p w:rsidR="00E65ADB" w:rsidRPr="00CD5B9E" w:rsidRDefault="00E65ADB">
          <w:pPr>
            <w:pStyle w:val="Footer"/>
          </w:pPr>
        </w:p>
      </w:tc>
    </w:tr>
  </w:tbl>
  <w:p w:rsidR="00E65ADB" w:rsidRDefault="00E65AD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ADB" w:rsidRDefault="00E65ADB">
    <w:pPr>
      <w:pStyle w:val="Footer"/>
    </w:pPr>
    <w:r w:rsidRPr="00E27A82">
      <w:rPr>
        <w:noProof/>
      </w:rPr>
      <w:pict>
        <v:shape id="_x0000_s4135" style="position:absolute;left:0;text-align:left;margin-left:-98.1pt;margin-top:-146.4pt;width:473.15pt;height:22.1pt;z-index:251665408;visibility:visible;mso-wrap-style:square;v-text-anchor:top" coordsize="186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mQMUA&#10;AADdAAAADwAAAGRycy9kb3ducmV2LnhtbERPTWsCMRC9C/6HMII3zVq0rVujVLHoRbC2B70Nm+nu&#10;4mayJnFd++ubQqG3ebzPmS1aU4mGnC8tKxgNExDEmdUl5wo+P94GzyB8QNZYWSYFd/KwmHc7M0y1&#10;vfE7NYeQixjCPkUFRQh1KqXPCjLoh7YmjtyXdQZDhC6X2uEthptKPiTJozRYcmwosKZVQdn5cDUK&#10;pv4eTsfler/c7i6b71PjzGr9pFS/176+gAjUhn/xn3ur4/xkMobfb+IJ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0uZAxQAAAN0AAAAPAAAAAAAAAAAAAAAAAJgCAABkcnMv&#10;ZG93bnJldi54bWxQSwUGAAAAAAQABAD1AAAAigMAAAAA&#10;" path="m1707,87v93,,127,-28,153,-37c1819,26,1786,,1709,,,,,,,,,87,,87,,87r1707,xe" stroked="f">
          <v:path arrowok="t" o:connecttype="custom" o:connectlocs="5514716,280670;6009005,161305;5521177,0;0,0;0,280670;5514716,280670" o:connectangles="0,0,0,0,0,0"/>
        </v:shape>
      </w:pict>
    </w:r>
    <w:r w:rsidRPr="00E27A82">
      <w:rPr>
        <w:noProof/>
      </w:rPr>
      <w:pict>
        <v:shape id="_x0000_s4134" style="position:absolute;left:0;text-align:left;margin-left:462.3pt;margin-top:-112.85pt;width:178.3pt;height:22.35pt;z-index:251664384;visibility:visible;mso-wrap-style:square;v-text-anchor:top" coordsize="70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Rp2cAA&#10;AADdAAAADwAAAGRycy9kb3ducmV2LnhtbERPyWrDMBC9B/IPYgq9JVJDW4pjJYRAqHNs4t4Ha7wQ&#10;ayQsxXb/PioUepvHWyffz7YXIw2hc6zhZa1AEFfOdNxoKK+n1QeIEJEN9o5Jww8F2O+Wixwz4yb+&#10;ovESG5FCOGSooY3RZ1KGqiWLYe08ceJqN1iMCQ6NNANOKdz2cqPUu7TYcWpo0dOxpep2uVsN1r+e&#10;y29fd9fj58R4KhVPxU3r56f5sAURaY7/4j93YdJ89baB32/SCXL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Rp2cAAAADdAAAADwAAAAAAAAAAAAAAAACYAgAAZHJzL2Rvd25y&#10;ZXYueG1sUEsFBgAAAAAEAAQA9QAAAIUDAAAAAA==&#10;" path="m153,c60,,26,28,,38,41,61,74,88,151,88v550,,550,,550,c701,,701,,701,l153,xe" stroked="f">
          <v:path arrowok="t" o:connecttype="custom" o:connectlocs="494229,0;0,122569;487769,283845;2264410,283845;2264410,0;494229,0" o:connectangles="0,0,0,0,0,0"/>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CellMar>
        <w:left w:w="0" w:type="dxa"/>
        <w:right w:w="0" w:type="dxa"/>
      </w:tblCellMar>
      <w:tblLook w:val="00A0"/>
    </w:tblPr>
    <w:tblGrid>
      <w:gridCol w:w="9239"/>
    </w:tblGrid>
    <w:tr w:rsidR="00E65ADB" w:rsidRPr="00CD5B9E" w:rsidTr="00CD5B9E">
      <w:trPr>
        <w:trHeight w:hRule="exact" w:val="737"/>
      </w:trPr>
      <w:tc>
        <w:tcPr>
          <w:tcW w:w="9239" w:type="dxa"/>
          <w:vAlign w:val="bottom"/>
        </w:tcPr>
        <w:p w:rsidR="00E65ADB" w:rsidRPr="00CD5B9E" w:rsidRDefault="00E65ADB" w:rsidP="00782488">
          <w:pPr>
            <w:pStyle w:val="Footer"/>
          </w:pPr>
        </w:p>
      </w:tc>
    </w:tr>
    <w:tr w:rsidR="00E65ADB" w:rsidRPr="00CD5B9E" w:rsidTr="00CD5B9E">
      <w:trPr>
        <w:trHeight w:val="113"/>
      </w:trPr>
      <w:tc>
        <w:tcPr>
          <w:tcW w:w="9239" w:type="dxa"/>
        </w:tcPr>
        <w:p w:rsidR="00E65ADB" w:rsidRPr="00CD5B9E" w:rsidRDefault="00E65ADB">
          <w:pPr>
            <w:pStyle w:val="Footer"/>
          </w:pPr>
        </w:p>
      </w:tc>
    </w:tr>
  </w:tbl>
  <w:p w:rsidR="00E65ADB" w:rsidRDefault="00E65ADB">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ADB" w:rsidRDefault="00E65ADB">
    <w:pPr>
      <w:pStyle w:val="Footer"/>
    </w:pPr>
    <w:r w:rsidRPr="00E27A82">
      <w:rPr>
        <w:noProof/>
      </w:rPr>
      <w:pict>
        <v:shape id="Freeform 122" o:spid="_x0000_s4118" style="position:absolute;left:0;text-align:left;margin-left:-98.1pt;margin-top:-146.4pt;width:473.15pt;height:22.1pt;z-index:251658240;visibility:visible;mso-wrap-style:square;v-text-anchor:top" coordsize="186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mQMUA&#10;AADdAAAADwAAAGRycy9kb3ducmV2LnhtbERPTWsCMRC9C/6HMII3zVq0rVujVLHoRbC2B70Nm+nu&#10;4mayJnFd++ubQqG3ebzPmS1aU4mGnC8tKxgNExDEmdUl5wo+P94GzyB8QNZYWSYFd/KwmHc7M0y1&#10;vfE7NYeQixjCPkUFRQh1KqXPCjLoh7YmjtyXdQZDhC6X2uEthptKPiTJozRYcmwosKZVQdn5cDUK&#10;pv4eTsfler/c7i6b71PjzGr9pFS/176+gAjUhn/xn3ur4/xkMobfb+IJ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0uZAxQAAAN0AAAAPAAAAAAAAAAAAAAAAAJgCAABkcnMv&#10;ZG93bnJldi54bWxQSwUGAAAAAAQABAD1AAAAigMAAAAA&#10;" path="m1707,87v93,,127,-28,153,-37c1819,26,1786,,1709,,,,,,,,,87,,87,,87r1707,xe" stroked="f">
          <v:path arrowok="t" o:connecttype="custom" o:connectlocs="5514716,280670;6009005,161305;5521177,0;0,0;0,280670;5514716,280670" o:connectangles="0,0,0,0,0,0"/>
        </v:shape>
      </w:pict>
    </w:r>
    <w:r w:rsidRPr="00E27A82">
      <w:rPr>
        <w:noProof/>
      </w:rPr>
      <w:pict>
        <v:shape id="Freeform 120" o:spid="_x0000_s4120" style="position:absolute;left:0;text-align:left;margin-left:462.3pt;margin-top:-112.85pt;width:178.3pt;height:22.35pt;z-index:251657216;visibility:visible;mso-wrap-style:square;v-text-anchor:top" coordsize="70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Rp2cAA&#10;AADdAAAADwAAAGRycy9kb3ducmV2LnhtbERPyWrDMBC9B/IPYgq9JVJDW4pjJYRAqHNs4t4Ha7wQ&#10;ayQsxXb/PioUepvHWyffz7YXIw2hc6zhZa1AEFfOdNxoKK+n1QeIEJEN9o5Jww8F2O+Wixwz4yb+&#10;ovESG5FCOGSooY3RZ1KGqiWLYe08ceJqN1iMCQ6NNANOKdz2cqPUu7TYcWpo0dOxpep2uVsN1r+e&#10;y29fd9fj58R4KhVPxU3r56f5sAURaY7/4j93YdJ89baB32/SCXL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Rp2cAAAADdAAAADwAAAAAAAAAAAAAAAACYAgAAZHJzL2Rvd25y&#10;ZXYueG1sUEsFBgAAAAAEAAQA9QAAAIUDAAAAAA==&#10;" path="m153,c60,,26,28,,38,41,61,74,88,151,88v550,,550,,550,c701,,701,,701,l153,xe" stroked="f">
          <v:path arrowok="t" o:connecttype="custom" o:connectlocs="494229,0;0,122569;487769,283845;2264410,283845;2264410,0;494229,0" o:connectangles="0,0,0,0,0,0"/>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ADB" w:rsidRDefault="00E65ADB">
    <w:pPr>
      <w:pStyle w:val="Footer"/>
    </w:pPr>
    <w:r>
      <w:rPr>
        <w:noProof/>
        <w:lang w:val="en-US" w:eastAsia="en-US"/>
      </w:rPr>
      <w:drawing>
        <wp:anchor distT="0" distB="0" distL="114300" distR="114300" simplePos="0" relativeHeight="251660288" behindDoc="0" locked="0" layoutInCell="1" allowOverlap="1">
          <wp:simplePos x="0" y="0"/>
          <wp:positionH relativeFrom="column">
            <wp:posOffset>5537200</wp:posOffset>
          </wp:positionH>
          <wp:positionV relativeFrom="paragraph">
            <wp:posOffset>-57150</wp:posOffset>
          </wp:positionV>
          <wp:extent cx="647700" cy="257175"/>
          <wp:effectExtent l="19050" t="0" r="0" b="0"/>
          <wp:wrapNone/>
          <wp:docPr id="35" name="Picture 35" descr="ceos_logo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eos_logo_280"/>
                  <pic:cNvPicPr>
                    <a:picLocks noChangeAspect="1" noChangeArrowheads="1"/>
                  </pic:cNvPicPr>
                </pic:nvPicPr>
                <pic:blipFill>
                  <a:blip r:embed="rId1"/>
                  <a:srcRect/>
                  <a:stretch>
                    <a:fillRect/>
                  </a:stretch>
                </pic:blipFill>
                <pic:spPr bwMode="auto">
                  <a:xfrm>
                    <a:off x="0" y="0"/>
                    <a:ext cx="647700" cy="257175"/>
                  </a:xfrm>
                  <a:prstGeom prst="rect">
                    <a:avLst/>
                  </a:prstGeom>
                  <a:noFill/>
                  <a:ln w="9525">
                    <a:noFill/>
                    <a:miter lim="800000"/>
                    <a:headEnd/>
                    <a:tailEnd/>
                  </a:ln>
                </pic:spPr>
              </pic:pic>
            </a:graphicData>
          </a:graphic>
        </wp:anchor>
      </w:drawing>
    </w:r>
    <w:r>
      <w:rPr>
        <w:rStyle w:val="PageNumber"/>
      </w:rPr>
      <w:fldChar w:fldCharType="begin"/>
    </w:r>
    <w:r>
      <w:rPr>
        <w:rStyle w:val="PageNumber"/>
      </w:rPr>
      <w:instrText xml:space="preserve"> PAGE </w:instrText>
    </w:r>
    <w:r>
      <w:rPr>
        <w:rStyle w:val="PageNumber"/>
      </w:rPr>
      <w:fldChar w:fldCharType="separate"/>
    </w:r>
    <w:r w:rsidR="00ED66C2">
      <w:rPr>
        <w:rStyle w:val="PageNumber"/>
        <w:noProof/>
      </w:rPr>
      <w:t>68</w:t>
    </w:r>
    <w:r>
      <w:rPr>
        <w:rStyle w:val="PageNumber"/>
      </w:rPr>
      <w:fldChar w:fldCharType="end"/>
    </w:r>
    <w:r>
      <w:rPr>
        <w:rStyle w:val="PageNumber"/>
      </w:rPr>
      <w:t xml:space="preserve">   | Non-meteorological Applications for Next Generation of Geostationary Satellites Study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ADB" w:rsidRDefault="00E65ADB" w:rsidP="00AA4BB0">
    <w:pPr>
      <w:pStyle w:val="Footer"/>
      <w:jc w:val="right"/>
    </w:pPr>
    <w:r>
      <w:rPr>
        <w:noProof/>
        <w:lang w:val="en-US" w:eastAsia="en-US"/>
      </w:rPr>
      <w:drawing>
        <wp:anchor distT="0" distB="0" distL="114300" distR="114300" simplePos="0" relativeHeight="251659264" behindDoc="0" locked="0" layoutInCell="1" allowOverlap="1">
          <wp:simplePos x="0" y="0"/>
          <wp:positionH relativeFrom="column">
            <wp:posOffset>12700</wp:posOffset>
          </wp:positionH>
          <wp:positionV relativeFrom="paragraph">
            <wp:posOffset>-66675</wp:posOffset>
          </wp:positionV>
          <wp:extent cx="647700" cy="257175"/>
          <wp:effectExtent l="19050" t="0" r="0" b="0"/>
          <wp:wrapNone/>
          <wp:docPr id="34" name="Picture 34" descr="ceos_logo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eos_logo_280"/>
                  <pic:cNvPicPr>
                    <a:picLocks noChangeAspect="1" noChangeArrowheads="1"/>
                  </pic:cNvPicPr>
                </pic:nvPicPr>
                <pic:blipFill>
                  <a:blip r:embed="rId1"/>
                  <a:srcRect/>
                  <a:stretch>
                    <a:fillRect/>
                  </a:stretch>
                </pic:blipFill>
                <pic:spPr bwMode="auto">
                  <a:xfrm>
                    <a:off x="0" y="0"/>
                    <a:ext cx="647700" cy="257175"/>
                  </a:xfrm>
                  <a:prstGeom prst="rect">
                    <a:avLst/>
                  </a:prstGeom>
                  <a:noFill/>
                  <a:ln w="9525">
                    <a:noFill/>
                    <a:miter lim="800000"/>
                    <a:headEnd/>
                    <a:tailEnd/>
                  </a:ln>
                </pic:spPr>
              </pic:pic>
            </a:graphicData>
          </a:graphic>
        </wp:anchor>
      </w:drawing>
    </w:r>
    <w:r>
      <w:t>Non</w:t>
    </w:r>
    <w:r>
      <w:rPr>
        <w:rStyle w:val="PageNumber"/>
      </w:rPr>
      <w:t>-meteorological Applications for Next Generation of Geostationary Satellites Study</w:t>
    </w:r>
    <w:r>
      <w:t xml:space="preserve"> | </w:t>
    </w:r>
    <w:r>
      <w:rPr>
        <w:rStyle w:val="PageNumber"/>
      </w:rPr>
      <w:fldChar w:fldCharType="begin"/>
    </w:r>
    <w:r>
      <w:rPr>
        <w:rStyle w:val="PageNumber"/>
      </w:rPr>
      <w:instrText xml:space="preserve"> PAGE </w:instrText>
    </w:r>
    <w:r>
      <w:rPr>
        <w:rStyle w:val="PageNumber"/>
      </w:rPr>
      <w:fldChar w:fldCharType="separate"/>
    </w:r>
    <w:r w:rsidR="00ED66C2">
      <w:rPr>
        <w:rStyle w:val="PageNumber"/>
        <w:noProof/>
      </w:rPr>
      <w:t>11</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5ADB" w:rsidRDefault="00E65ADB" w:rsidP="009964E7">
      <w:r>
        <w:separator/>
      </w:r>
    </w:p>
    <w:p w:rsidR="00E65ADB" w:rsidRDefault="00E65ADB"/>
    <w:p w:rsidR="00E65ADB" w:rsidRDefault="00E65ADB"/>
  </w:footnote>
  <w:footnote w:type="continuationSeparator" w:id="1">
    <w:p w:rsidR="00E65ADB" w:rsidRDefault="00E65ADB" w:rsidP="009964E7">
      <w:r>
        <w:continuationSeparator/>
      </w:r>
    </w:p>
    <w:p w:rsidR="00E65ADB" w:rsidRDefault="00E65ADB"/>
    <w:p w:rsidR="00E65ADB" w:rsidRDefault="00E65ADB"/>
  </w:footnote>
  <w:footnote w:id="2">
    <w:p w:rsidR="00E65ADB" w:rsidRDefault="00E65ADB" w:rsidP="00377944">
      <w:pPr>
        <w:pStyle w:val="FootnoteText"/>
      </w:pPr>
      <w:r>
        <w:rPr>
          <w:rStyle w:val="FootnoteReference"/>
        </w:rPr>
        <w:footnoteRef/>
      </w:r>
      <w:r>
        <w:t xml:space="preserve"> </w:t>
      </w:r>
      <w:r w:rsidRPr="009E4348">
        <w:t>http://ceos.org/document_management/Virtual_Constellations/ACC/Documents/ACC_White-Paper-A-Geostationary-Satellite-Cx-for-Observing-Global-AQ-v4_Apr2011.pdf</w:t>
      </w:r>
    </w:p>
  </w:footnote>
  <w:footnote w:id="3">
    <w:p w:rsidR="00E65ADB" w:rsidRDefault="00E65ADB" w:rsidP="00077EFF">
      <w:pPr>
        <w:pStyle w:val="FootnoteText"/>
      </w:pPr>
      <w:r>
        <w:rPr>
          <w:rStyle w:val="FootnoteReference"/>
        </w:rPr>
        <w:footnoteRef/>
      </w:r>
      <w:r>
        <w:t xml:space="preserve"> </w:t>
      </w:r>
      <w:r w:rsidRPr="002C70A0">
        <w:t>http://science1.nasa.gov/about-us/smd-programs/earth-system-science-pathfinder/</w:t>
      </w:r>
    </w:p>
  </w:footnote>
  <w:footnote w:id="4">
    <w:p w:rsidR="00E65ADB" w:rsidRPr="00910C60" w:rsidRDefault="00E65ADB" w:rsidP="00077EFF">
      <w:pPr>
        <w:pStyle w:val="FootnoteText"/>
        <w:rPr>
          <w:color w:val="auto"/>
        </w:rPr>
      </w:pPr>
      <w:r w:rsidRPr="00910C60">
        <w:rPr>
          <w:rStyle w:val="FootnoteReference"/>
          <w:color w:val="auto"/>
        </w:rPr>
        <w:footnoteRef/>
      </w:r>
      <w:r w:rsidRPr="00910C60">
        <w:rPr>
          <w:color w:val="auto"/>
        </w:rPr>
        <w:t xml:space="preserve"> </w:t>
      </w:r>
      <w:hyperlink r:id="rId1" w:history="1">
        <w:r w:rsidRPr="00910C60">
          <w:rPr>
            <w:rStyle w:val="Hyperlink"/>
            <w:color w:val="auto"/>
          </w:rPr>
          <w:t>http://www.wmo-sat.info/oscar/instruments/view/584</w:t>
        </w:r>
      </w:hyperlink>
    </w:p>
    <w:p w:rsidR="00E65ADB" w:rsidRDefault="00E65ADB" w:rsidP="00077EFF">
      <w:pPr>
        <w:pStyle w:val="FootnoteText"/>
      </w:pPr>
      <w:r>
        <w:rPr>
          <w:position w:val="10"/>
          <w:sz w:val="13"/>
        </w:rPr>
        <w:t>4</w:t>
      </w:r>
      <w:r>
        <w:rPr>
          <w:spacing w:val="15"/>
          <w:position w:val="10"/>
          <w:sz w:val="13"/>
        </w:rPr>
        <w:t xml:space="preserve"> </w:t>
      </w:r>
      <w:r w:rsidRPr="00B43FA1">
        <w:t>http://esamultimedia.esa.int/docs/EarthObservation/SP-1332_Sentinel-5P.pdf</w:t>
      </w:r>
      <w:r w:rsidRPr="008073B4">
        <w:rPr>
          <w:spacing w:val="-1"/>
        </w:rPr>
        <w:t xml:space="preserve"> (January 2016)</w:t>
      </w:r>
    </w:p>
  </w:footnote>
  <w:footnote w:id="5">
    <w:p w:rsidR="00E65ADB" w:rsidRPr="00910C60" w:rsidRDefault="00E65ADB" w:rsidP="00377944">
      <w:pPr>
        <w:pStyle w:val="FootnoteText"/>
        <w:rPr>
          <w:color w:val="auto"/>
        </w:rPr>
      </w:pPr>
      <w:r w:rsidRPr="00910C60">
        <w:rPr>
          <w:rStyle w:val="FootnoteReference"/>
          <w:color w:val="auto"/>
        </w:rPr>
        <w:t>5</w:t>
      </w:r>
      <w:r w:rsidRPr="00910C60">
        <w:rPr>
          <w:color w:val="auto"/>
        </w:rPr>
        <w:t xml:space="preserve"> </w:t>
      </w:r>
      <w:hyperlink r:id="rId2" w:history="1">
        <w:r w:rsidRPr="00910C60">
          <w:rPr>
            <w:rStyle w:val="Hyperlink"/>
            <w:color w:val="auto"/>
          </w:rPr>
          <w:t>http://www.wmo-sat.info/oscar/instruments/view/232</w:t>
        </w:r>
      </w:hyperlink>
    </w:p>
    <w:p w:rsidR="00E65ADB" w:rsidRDefault="00E65ADB" w:rsidP="00377944">
      <w:pPr>
        <w:pStyle w:val="FootnoteText"/>
      </w:pPr>
    </w:p>
  </w:footnote>
  <w:footnote w:id="6">
    <w:p w:rsidR="00E65ADB" w:rsidRPr="009A4E66" w:rsidRDefault="00E65ADB" w:rsidP="009E0CAB">
      <w:pPr>
        <w:pStyle w:val="FootnoteText"/>
      </w:pPr>
      <w:r w:rsidRPr="003D475C">
        <w:rPr>
          <w:rStyle w:val="FootnoteReference"/>
        </w:rPr>
        <w:footnoteRef/>
      </w:r>
      <w:r w:rsidRPr="003D475C">
        <w:t xml:space="preserve"> See also page </w:t>
      </w:r>
      <w:r w:rsidRPr="00A979D9">
        <w:rPr>
          <w:color w:val="FF0000"/>
        </w:rPr>
        <w:t>XY</w:t>
      </w:r>
      <w:r w:rsidRPr="003D475C">
        <w:t>, „…..the oracle of</w:t>
      </w:r>
      <w:r>
        <w:t xml:space="preserve"> </w:t>
      </w:r>
      <w:r w:rsidRPr="003D475C">
        <w:t xml:space="preserve">Meteosat“ in </w:t>
      </w:r>
      <w:r w:rsidRPr="003D475C">
        <w:rPr>
          <w:i/>
        </w:rPr>
        <w:t>Asterix and the Magic Carpet</w:t>
      </w:r>
      <w:r w:rsidRPr="003D475C">
        <w:t xml:space="preserve">, Vol. </w:t>
      </w:r>
      <w:r w:rsidRPr="003D475C">
        <w:rPr>
          <w:b/>
        </w:rPr>
        <w:t>2</w:t>
      </w:r>
      <w:r w:rsidRPr="00613331">
        <w:rPr>
          <w:b/>
        </w:rPr>
        <w:t>8</w:t>
      </w:r>
      <w:r>
        <w:t xml:space="preserve">, </w:t>
      </w:r>
      <w:r w:rsidRPr="00613331">
        <w:rPr>
          <w:i/>
        </w:rPr>
        <w:t>1987</w:t>
      </w:r>
    </w:p>
  </w:footnote>
  <w:footnote w:id="7">
    <w:p w:rsidR="00E65ADB" w:rsidRPr="00053F50" w:rsidRDefault="00E65ADB" w:rsidP="009E0CAB">
      <w:pPr>
        <w:pStyle w:val="FootnoteText"/>
      </w:pPr>
      <w:r>
        <w:rPr>
          <w:rStyle w:val="FootnoteReference"/>
        </w:rPr>
        <w:footnoteRef/>
      </w:r>
      <w:r w:rsidRPr="00053F50">
        <w:t xml:space="preserve">It is worth to note that </w:t>
      </w:r>
      <w:r>
        <w:t xml:space="preserve">a series of </w:t>
      </w:r>
      <w:r w:rsidRPr="00053F50">
        <w:t>full disc GEO satellites will become operational in the coming years.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ADB" w:rsidRDefault="00E65ADB">
    <w:pPr>
      <w:pStyle w:val="Header"/>
    </w:pPr>
    <w:r w:rsidRPr="00E27A82">
      <w:rPr>
        <w:noProof/>
      </w:rPr>
      <w:pict>
        <v:group id="_x0000_s4130" editas="canvas" style="position:absolute;left:0;text-align:left;margin-left:-98.35pt;margin-top:531.3pt;width:738.7pt;height:312.65pt;z-index:251663360;mso-position-vertical-relative:page" coordorigin="-833,10626" coordsize="14774,6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31" type="#_x0000_t75" style="position:absolute;left:-833;top:10626;width:14774;height:6253;visibility:visible">
            <v:fill o:detectmouseclick="t"/>
            <v:path o:connecttype="none"/>
          </v:shape>
          <v:rect id="Rectangle 114" o:spid="_x0000_s4132" style="position:absolute;left:-798;top:12556;width:1907;height:7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eDZMMA&#10;AADdAAAADwAAAGRycy9kb3ducmV2LnhtbERPTWvCQBC9C/0Pywi96a41hjZ1lSIIherBpNDrkB2T&#10;0Oxsml1N+u/dQsHbPN7nrLejbcWVet841rCYKxDEpTMNVxo+i/3sGYQPyAZbx6ThlzxsNw+TNWbG&#10;DXyiax4qEUPYZ6ihDqHLpPRlTRb93HXEkTu73mKIsK+k6XGI4baVT0ql0mLDsaHGjnY1ld/5xWrA&#10;NDE/x/PyUHxcUnypRrVffSmtH6fj2yuIQGO4i//d7ybOV0kKf9/EE+Tm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eDZMMAAADdAAAADwAAAAAAAAAAAAAAAACYAgAAZHJzL2Rv&#10;d25yZXYueG1sUEsFBgAAAAAEAAQA9QAAAIgDAAAAAA==&#10;" stroked="f"/>
          <v:shape id="Freeform 121" o:spid="_x0000_s4133" style="position:absolute;left:527;top:12791;width:836;height:35;visibility:visible;mso-wrap-style:square;v-text-anchor:top" coordsize="104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RLR8UA&#10;AADdAAAADwAAAGRycy9kb3ducmV2LnhtbERPTWvCQBC9F/wPywje6qaKRVJXKYGIFBESpe1xyI5J&#10;NDsbsluN/fXdguBtHu9zFqveNOJCnastK3gZRyCIC6trLhUc9unzHITzyBoby6TgRg5Wy8HTAmNt&#10;r5zRJfelCCHsYlRQed/GUrqiIoNubFviwB1tZ9AH2JVSd3gN4aaRkyh6lQZrDg0VtpRUVJzzH6Pg&#10;e5sd09/dl5/luyTb7E/rz4/pRKnRsH9/A+Gp9w/x3b3RYX40m8L/N+EE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ZEtHxQAAAN0AAAAPAAAAAAAAAAAAAAAAAJgCAABkcnMv&#10;ZG93bnJldi54bWxQSwUGAAAAAAQABAD1AAAAigMAAAAA&#10;" path="m,7c35,27,83,44,145,44v899,,899,,899,c1044,,1044,,1044,,91,,91,,91,,32,,12,2,,7e" stroked="f">
            <v:path arrowok="t" o:connecttype="custom" o:connectlocs="0,22528;468401,141605;3372485,141605;3372485,0;293962,0;0,22528" o:connectangles="0,0,0,0,0,0"/>
          </v:shape>
          <w10:wrap anchory="page"/>
          <w10:anchorlock/>
        </v:group>
      </w:pict>
    </w:r>
    <w:r w:rsidRPr="00E27A82">
      <w:rPr>
        <w:noProof/>
      </w:rPr>
      <w:pict>
        <v:group id="_x0000_s4128" editas="canvas" style="position:absolute;left:0;text-align:left;margin-left:-71.45pt;margin-top:43.95pt;width:639.5pt;height:82.5pt;z-index:251662336;mso-position-vertical-relative:page" coordsize="81210,10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">
          <v:shape id="_x0000_s4129" type="#_x0000_t75" style="position:absolute;width:81210;height:10471;visibility:visible">
            <v:fill o:detectmouseclick="t"/>
            <v:path o:connecttype="none"/>
          </v:shape>
          <w10:wrap anchory="page"/>
          <w10:anchorlock/>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ADB" w:rsidRDefault="00E65ADB">
    <w:pPr>
      <w:pStyle w:val="Header"/>
    </w:pPr>
    <w:r w:rsidRPr="00E27A82">
      <w:rPr>
        <w:noProof/>
      </w:rPr>
      <w:pict>
        <v:group id="Canvas 1055" o:spid="_x0000_s4117" editas="canvas" style="position:absolute;left:0;text-align:left;margin-left:-98.35pt;margin-top:531.3pt;width:738.7pt;height:312.65pt;z-index:251656192;mso-position-vertical-relative:page" coordorigin="-833,10626" coordsize="14774,6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27" type="#_x0000_t75" style="position:absolute;left:-833;top:10626;width:14774;height:6253;visibility:visible">
            <v:fill o:detectmouseclick="t"/>
            <v:path o:connecttype="none"/>
          </v:shape>
          <v:rect id="Rectangle 114" o:spid="_x0000_s4126" style="position:absolute;left:-798;top:12556;width:1907;height:7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eDZMMA&#10;AADdAAAADwAAAGRycy9kb3ducmV2LnhtbERPTWvCQBC9C/0Pywi96a41hjZ1lSIIherBpNDrkB2T&#10;0Oxsml1N+u/dQsHbPN7nrLejbcWVet841rCYKxDEpTMNVxo+i/3sGYQPyAZbx6ThlzxsNw+TNWbG&#10;DXyiax4qEUPYZ6ihDqHLpPRlTRb93HXEkTu73mKIsK+k6XGI4baVT0ql0mLDsaHGjnY1ld/5xWrA&#10;NDE/x/PyUHxcUnypRrVffSmtH6fj2yuIQGO4i//d7ybOV0kKf9/EE+Tm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eDZMMAAADdAAAADwAAAAAAAAAAAAAAAACYAgAAZHJzL2Rv&#10;d25yZXYueG1sUEsFBgAAAAAEAAQA9QAAAIgDAAAAAA==&#10;" stroked="f"/>
          <v:shape id="Freeform 121" o:spid="_x0000_s4119" style="position:absolute;left:527;top:12791;width:836;height:35;visibility:visible;mso-wrap-style:square;v-text-anchor:top" coordsize="104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RLR8UA&#10;AADdAAAADwAAAGRycy9kb3ducmV2LnhtbERPTWvCQBC9F/wPywje6qaKRVJXKYGIFBESpe1xyI5J&#10;NDsbsluN/fXdguBtHu9zFqveNOJCnastK3gZRyCIC6trLhUc9unzHITzyBoby6TgRg5Wy8HTAmNt&#10;r5zRJfelCCHsYlRQed/GUrqiIoNubFviwB1tZ9AH2JVSd3gN4aaRkyh6lQZrDg0VtpRUVJzzH6Pg&#10;e5sd09/dl5/luyTb7E/rz4/pRKnRsH9/A+Gp9w/x3b3RYX40m8L/N+EE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ZEtHxQAAAN0AAAAPAAAAAAAAAAAAAAAAAJgCAABkcnMv&#10;ZG93bnJldi54bWxQSwUGAAAAAAQABAD1AAAAigMAAAAA&#10;" path="m,7c35,27,83,44,145,44v899,,899,,899,c1044,,1044,,1044,,91,,91,,91,,32,,12,2,,7e" stroked="f">
            <v:path arrowok="t" o:connecttype="custom" o:connectlocs="0,22528;468401,141605;3372485,141605;3372485,0;293962,0;0,22528" o:connectangles="0,0,0,0,0,0"/>
          </v:shape>
          <w10:wrap anchory="page"/>
          <w10:anchorlock/>
        </v:group>
      </w:pict>
    </w:r>
    <w:r w:rsidRPr="00E27A82">
      <w:rPr>
        <w:noProof/>
      </w:rPr>
      <w:pict>
        <v:group id="Canvas 100" o:spid="_x0000_s4097" editas="canvas" style="position:absolute;left:0;text-align:left;margin-left:-71.45pt;margin-top:43.95pt;width:639.5pt;height:82.5pt;z-index:251655168;mso-position-vertical-relative:page" coordsize="81210,10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">
          <v:shape id="_x0000_s4116" type="#_x0000_t75" style="position:absolute;width:81210;height:10471;visibility:visible">
            <v:fill o:detectmouseclick="t"/>
            <v:path o:connecttype="none"/>
          </v:shape>
          <w10:wrap anchory="page"/>
          <w10:anchorlock/>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ADB" w:rsidRDefault="00E65ADB" w:rsidP="002A47DB">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ADB" w:rsidRDefault="00E65ADB" w:rsidP="002A47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CC3EF2D2"/>
    <w:lvl w:ilvl="0">
      <w:start w:val="1"/>
      <w:numFmt w:val="lowerLetter"/>
      <w:pStyle w:val="ListNumber2"/>
      <w:lvlText w:val="%1."/>
      <w:lvlJc w:val="left"/>
      <w:pPr>
        <w:ind w:left="643" w:hanging="360"/>
      </w:pPr>
    </w:lvl>
  </w:abstractNum>
  <w:abstractNum w:abstractNumId="1">
    <w:nsid w:val="FFFFFF80"/>
    <w:multiLevelType w:val="singleLevel"/>
    <w:tmpl w:val="B442ECCC"/>
    <w:lvl w:ilvl="0">
      <w:start w:val="1"/>
      <w:numFmt w:val="bullet"/>
      <w:pStyle w:val="ListNumber5"/>
      <w:lvlText w:val=""/>
      <w:lvlJc w:val="left"/>
      <w:pPr>
        <w:tabs>
          <w:tab w:val="num" w:pos="1492"/>
        </w:tabs>
        <w:ind w:left="1492" w:hanging="360"/>
      </w:pPr>
      <w:rPr>
        <w:rFonts w:ascii="Symbol" w:hAnsi="Symbol" w:hint="default"/>
      </w:rPr>
    </w:lvl>
  </w:abstractNum>
  <w:abstractNum w:abstractNumId="2">
    <w:nsid w:val="FFFFFF81"/>
    <w:multiLevelType w:val="singleLevel"/>
    <w:tmpl w:val="B77C9CB0"/>
    <w:lvl w:ilvl="0">
      <w:start w:val="1"/>
      <w:numFmt w:val="bullet"/>
      <w:pStyle w:val="ListNumber4"/>
      <w:lvlText w:val=""/>
      <w:lvlJc w:val="left"/>
      <w:pPr>
        <w:tabs>
          <w:tab w:val="num" w:pos="1209"/>
        </w:tabs>
        <w:ind w:left="1209" w:hanging="360"/>
      </w:pPr>
      <w:rPr>
        <w:rFonts w:ascii="Symbol" w:hAnsi="Symbol" w:hint="default"/>
      </w:rPr>
    </w:lvl>
  </w:abstractNum>
  <w:abstractNum w:abstractNumId="3">
    <w:nsid w:val="FFFFFF82"/>
    <w:multiLevelType w:val="singleLevel"/>
    <w:tmpl w:val="860A9B14"/>
    <w:lvl w:ilvl="0">
      <w:start w:val="1"/>
      <w:numFmt w:val="bullet"/>
      <w:pStyle w:val="ListNumber3"/>
      <w:lvlText w:val=""/>
      <w:lvlJc w:val="left"/>
      <w:pPr>
        <w:tabs>
          <w:tab w:val="num" w:pos="926"/>
        </w:tabs>
        <w:ind w:left="926" w:hanging="360"/>
      </w:pPr>
      <w:rPr>
        <w:rFonts w:ascii="Symbol" w:hAnsi="Symbol" w:hint="default"/>
      </w:rPr>
    </w:lvl>
  </w:abstractNum>
  <w:abstractNum w:abstractNumId="4">
    <w:nsid w:val="FFFFFF83"/>
    <w:multiLevelType w:val="singleLevel"/>
    <w:tmpl w:val="2716FB9A"/>
    <w:lvl w:ilvl="0">
      <w:start w:val="1"/>
      <w:numFmt w:val="bullet"/>
      <w:pStyle w:val="ListBullet5"/>
      <w:lvlText w:val="–"/>
      <w:lvlJc w:val="left"/>
      <w:pPr>
        <w:ind w:left="360" w:hanging="360"/>
      </w:pPr>
      <w:rPr>
        <w:rFonts w:ascii="Feijoa Medium" w:hAnsi="Feijoa Medium" w:hint="default"/>
      </w:rPr>
    </w:lvl>
  </w:abstractNum>
  <w:abstractNum w:abstractNumId="5">
    <w:nsid w:val="FFFFFF88"/>
    <w:multiLevelType w:val="singleLevel"/>
    <w:tmpl w:val="87D43BCA"/>
    <w:lvl w:ilvl="0">
      <w:start w:val="1"/>
      <w:numFmt w:val="decimal"/>
      <w:pStyle w:val="ListBullet4"/>
      <w:lvlText w:val="%1."/>
      <w:lvlJc w:val="left"/>
      <w:pPr>
        <w:ind w:left="360" w:hanging="360"/>
      </w:pPr>
      <w:rPr>
        <w:rFonts w:cs="Times New Roman"/>
      </w:rPr>
    </w:lvl>
  </w:abstractNum>
  <w:abstractNum w:abstractNumId="6">
    <w:nsid w:val="01B47A80"/>
    <w:multiLevelType w:val="multilevel"/>
    <w:tmpl w:val="A31E6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7962CCF"/>
    <w:multiLevelType w:val="multilevel"/>
    <w:tmpl w:val="959C1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7FC0C4F"/>
    <w:multiLevelType w:val="hybridMultilevel"/>
    <w:tmpl w:val="C83AD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B9B656B"/>
    <w:multiLevelType w:val="hybridMultilevel"/>
    <w:tmpl w:val="015A4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FDC1237"/>
    <w:multiLevelType w:val="hybridMultilevel"/>
    <w:tmpl w:val="0764DA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110643AB"/>
    <w:multiLevelType w:val="hybridMultilevel"/>
    <w:tmpl w:val="59104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1EE7E16"/>
    <w:multiLevelType w:val="singleLevel"/>
    <w:tmpl w:val="D1B6E722"/>
    <w:lvl w:ilvl="0">
      <w:start w:val="1"/>
      <w:numFmt w:val="decimal"/>
      <w:pStyle w:val="OEReference"/>
      <w:lvlText w:val="%1."/>
      <w:lvlJc w:val="left"/>
      <w:pPr>
        <w:tabs>
          <w:tab w:val="num" w:pos="360"/>
        </w:tabs>
        <w:ind w:left="360" w:hanging="360"/>
      </w:pPr>
      <w:rPr>
        <w:lang w:val="de-DE"/>
      </w:rPr>
    </w:lvl>
  </w:abstractNum>
  <w:abstractNum w:abstractNumId="13">
    <w:nsid w:val="173E4B39"/>
    <w:multiLevelType w:val="multilevel"/>
    <w:tmpl w:val="251288D2"/>
    <w:lvl w:ilvl="0">
      <w:start w:val="1"/>
      <w:numFmt w:val="bullet"/>
      <w:lvlText w:val="●"/>
      <w:lvlJc w:val="left"/>
      <w:pPr>
        <w:ind w:left="199" w:firstLine="0"/>
      </w:pPr>
      <w:rPr>
        <w:rFonts w:ascii="Arial" w:eastAsia="Arial" w:hAnsi="Arial" w:cs="Arial"/>
      </w:rPr>
    </w:lvl>
    <w:lvl w:ilvl="1">
      <w:start w:val="1"/>
      <w:numFmt w:val="bullet"/>
      <w:lvlText w:val="–"/>
      <w:lvlJc w:val="left"/>
      <w:pPr>
        <w:ind w:left="397" w:firstLine="199"/>
      </w:pPr>
      <w:rPr>
        <w:rFonts w:ascii="Arial" w:eastAsia="Arial" w:hAnsi="Arial" w:cs="Arial"/>
      </w:rPr>
    </w:lvl>
    <w:lvl w:ilvl="2">
      <w:start w:val="1"/>
      <w:numFmt w:val="bullet"/>
      <w:lvlText w:val="o"/>
      <w:lvlJc w:val="left"/>
      <w:pPr>
        <w:ind w:left="595" w:firstLine="397"/>
      </w:pPr>
      <w:rPr>
        <w:rFonts w:ascii="Courier New" w:hAnsi="Courier New" w:cs="Courier New" w:hint="default"/>
      </w:rPr>
    </w:lvl>
    <w:lvl w:ilvl="3">
      <w:start w:val="1"/>
      <w:numFmt w:val="decimal"/>
      <w:lvlText w:val=""/>
      <w:lvlJc w:val="left"/>
      <w:pPr>
        <w:ind w:left="2880" w:firstLine="2520"/>
      </w:pPr>
    </w:lvl>
    <w:lvl w:ilvl="4">
      <w:start w:val="1"/>
      <w:numFmt w:val="decimal"/>
      <w:lvlText w:val=""/>
      <w:lvlJc w:val="left"/>
      <w:pPr>
        <w:ind w:left="3600" w:firstLine="3240"/>
      </w:pPr>
    </w:lvl>
    <w:lvl w:ilvl="5">
      <w:start w:val="1"/>
      <w:numFmt w:val="decimal"/>
      <w:lvlText w:val=""/>
      <w:lvlJc w:val="left"/>
      <w:pPr>
        <w:ind w:left="4320" w:firstLine="3960"/>
      </w:pPr>
    </w:lvl>
    <w:lvl w:ilvl="6">
      <w:start w:val="1"/>
      <w:numFmt w:val="decimal"/>
      <w:lvlText w:val=""/>
      <w:lvlJc w:val="left"/>
      <w:pPr>
        <w:ind w:left="5040" w:firstLine="4680"/>
      </w:pPr>
    </w:lvl>
    <w:lvl w:ilvl="7">
      <w:start w:val="1"/>
      <w:numFmt w:val="decimal"/>
      <w:lvlText w:val=""/>
      <w:lvlJc w:val="left"/>
      <w:pPr>
        <w:ind w:left="5760" w:firstLine="5400"/>
      </w:pPr>
    </w:lvl>
    <w:lvl w:ilvl="8">
      <w:start w:val="1"/>
      <w:numFmt w:val="decimal"/>
      <w:lvlText w:val=""/>
      <w:lvlJc w:val="left"/>
      <w:pPr>
        <w:ind w:left="6480" w:firstLine="6120"/>
      </w:pPr>
    </w:lvl>
  </w:abstractNum>
  <w:abstractNum w:abstractNumId="14">
    <w:nsid w:val="18966C23"/>
    <w:multiLevelType w:val="multilevel"/>
    <w:tmpl w:val="8B022F74"/>
    <w:lvl w:ilvl="0">
      <w:start w:val="1"/>
      <w:numFmt w:val="bullet"/>
      <w:lvlText w:val="-"/>
      <w:lvlJc w:val="left"/>
      <w:pPr>
        <w:ind w:left="199" w:firstLine="0"/>
      </w:pPr>
      <w:rPr>
        <w:rFonts w:ascii="Symbol" w:hAnsi="Symbol" w:hint="default"/>
      </w:rPr>
    </w:lvl>
    <w:lvl w:ilvl="1">
      <w:start w:val="1"/>
      <w:numFmt w:val="bullet"/>
      <w:lvlText w:val="–"/>
      <w:lvlJc w:val="left"/>
      <w:pPr>
        <w:ind w:left="397" w:firstLine="199"/>
      </w:pPr>
      <w:rPr>
        <w:rFonts w:ascii="Arial" w:eastAsia="Arial" w:hAnsi="Arial" w:cs="Arial"/>
      </w:rPr>
    </w:lvl>
    <w:lvl w:ilvl="2">
      <w:start w:val="1"/>
      <w:numFmt w:val="bullet"/>
      <w:lvlText w:val="–"/>
      <w:lvlJc w:val="left"/>
      <w:pPr>
        <w:ind w:left="595" w:firstLine="397"/>
      </w:pPr>
      <w:rPr>
        <w:rFonts w:ascii="Arial" w:eastAsia="Arial" w:hAnsi="Arial" w:cs="Arial"/>
      </w:rPr>
    </w:lvl>
    <w:lvl w:ilvl="3">
      <w:start w:val="1"/>
      <w:numFmt w:val="decimal"/>
      <w:lvlText w:val=""/>
      <w:lvlJc w:val="left"/>
      <w:pPr>
        <w:ind w:left="2880" w:firstLine="2520"/>
      </w:pPr>
    </w:lvl>
    <w:lvl w:ilvl="4">
      <w:start w:val="1"/>
      <w:numFmt w:val="decimal"/>
      <w:lvlText w:val=""/>
      <w:lvlJc w:val="left"/>
      <w:pPr>
        <w:ind w:left="3600" w:firstLine="3240"/>
      </w:pPr>
    </w:lvl>
    <w:lvl w:ilvl="5">
      <w:start w:val="1"/>
      <w:numFmt w:val="decimal"/>
      <w:lvlText w:val=""/>
      <w:lvlJc w:val="left"/>
      <w:pPr>
        <w:ind w:left="4320" w:firstLine="3960"/>
      </w:pPr>
    </w:lvl>
    <w:lvl w:ilvl="6">
      <w:start w:val="1"/>
      <w:numFmt w:val="decimal"/>
      <w:lvlText w:val=""/>
      <w:lvlJc w:val="left"/>
      <w:pPr>
        <w:ind w:left="5040" w:firstLine="4680"/>
      </w:pPr>
    </w:lvl>
    <w:lvl w:ilvl="7">
      <w:start w:val="1"/>
      <w:numFmt w:val="decimal"/>
      <w:lvlText w:val=""/>
      <w:lvlJc w:val="left"/>
      <w:pPr>
        <w:ind w:left="5760" w:firstLine="5400"/>
      </w:pPr>
    </w:lvl>
    <w:lvl w:ilvl="8">
      <w:start w:val="1"/>
      <w:numFmt w:val="decimal"/>
      <w:lvlText w:val=""/>
      <w:lvlJc w:val="left"/>
      <w:pPr>
        <w:ind w:left="6480" w:firstLine="6120"/>
      </w:pPr>
    </w:lvl>
  </w:abstractNum>
  <w:abstractNum w:abstractNumId="15">
    <w:nsid w:val="19190080"/>
    <w:multiLevelType w:val="hybridMultilevel"/>
    <w:tmpl w:val="9EE43F8E"/>
    <w:lvl w:ilvl="0" w:tplc="0407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AAB5642"/>
    <w:multiLevelType w:val="hybridMultilevel"/>
    <w:tmpl w:val="BBA07512"/>
    <w:lvl w:ilvl="0" w:tplc="C220CD88">
      <w:start w:val="1"/>
      <w:numFmt w:val="bullet"/>
      <w:lvlText w:val="-"/>
      <w:lvlJc w:val="left"/>
      <w:pPr>
        <w:ind w:left="757" w:hanging="360"/>
      </w:pPr>
      <w:rPr>
        <w:rFonts w:ascii="Symbol" w:hAnsi="Symbol" w:hint="default"/>
      </w:rPr>
    </w:lvl>
    <w:lvl w:ilvl="1" w:tplc="04090003" w:tentative="1">
      <w:start w:val="1"/>
      <w:numFmt w:val="bullet"/>
      <w:lvlText w:val="o"/>
      <w:lvlJc w:val="left"/>
      <w:pPr>
        <w:ind w:left="1477" w:hanging="360"/>
      </w:pPr>
      <w:rPr>
        <w:rFonts w:ascii="Courier New" w:hAnsi="Courier New" w:cs="Courier New" w:hint="default"/>
      </w:rPr>
    </w:lvl>
    <w:lvl w:ilvl="2" w:tplc="04090005" w:tentative="1">
      <w:start w:val="1"/>
      <w:numFmt w:val="bullet"/>
      <w:lvlText w:val=""/>
      <w:lvlJc w:val="left"/>
      <w:pPr>
        <w:ind w:left="2197" w:hanging="360"/>
      </w:pPr>
      <w:rPr>
        <w:rFonts w:ascii="Wingdings" w:hAnsi="Wingdings" w:hint="default"/>
      </w:rPr>
    </w:lvl>
    <w:lvl w:ilvl="3" w:tplc="04090001" w:tentative="1">
      <w:start w:val="1"/>
      <w:numFmt w:val="bullet"/>
      <w:lvlText w:val=""/>
      <w:lvlJc w:val="left"/>
      <w:pPr>
        <w:ind w:left="2917" w:hanging="360"/>
      </w:pPr>
      <w:rPr>
        <w:rFonts w:ascii="Symbol" w:hAnsi="Symbol" w:hint="default"/>
      </w:rPr>
    </w:lvl>
    <w:lvl w:ilvl="4" w:tplc="04090003" w:tentative="1">
      <w:start w:val="1"/>
      <w:numFmt w:val="bullet"/>
      <w:lvlText w:val="o"/>
      <w:lvlJc w:val="left"/>
      <w:pPr>
        <w:ind w:left="3637" w:hanging="360"/>
      </w:pPr>
      <w:rPr>
        <w:rFonts w:ascii="Courier New" w:hAnsi="Courier New" w:cs="Courier New" w:hint="default"/>
      </w:rPr>
    </w:lvl>
    <w:lvl w:ilvl="5" w:tplc="04090005" w:tentative="1">
      <w:start w:val="1"/>
      <w:numFmt w:val="bullet"/>
      <w:lvlText w:val=""/>
      <w:lvlJc w:val="left"/>
      <w:pPr>
        <w:ind w:left="4357" w:hanging="360"/>
      </w:pPr>
      <w:rPr>
        <w:rFonts w:ascii="Wingdings" w:hAnsi="Wingdings" w:hint="default"/>
      </w:rPr>
    </w:lvl>
    <w:lvl w:ilvl="6" w:tplc="04090001" w:tentative="1">
      <w:start w:val="1"/>
      <w:numFmt w:val="bullet"/>
      <w:lvlText w:val=""/>
      <w:lvlJc w:val="left"/>
      <w:pPr>
        <w:ind w:left="5077" w:hanging="360"/>
      </w:pPr>
      <w:rPr>
        <w:rFonts w:ascii="Symbol" w:hAnsi="Symbol" w:hint="default"/>
      </w:rPr>
    </w:lvl>
    <w:lvl w:ilvl="7" w:tplc="04090003" w:tentative="1">
      <w:start w:val="1"/>
      <w:numFmt w:val="bullet"/>
      <w:lvlText w:val="o"/>
      <w:lvlJc w:val="left"/>
      <w:pPr>
        <w:ind w:left="5797" w:hanging="360"/>
      </w:pPr>
      <w:rPr>
        <w:rFonts w:ascii="Courier New" w:hAnsi="Courier New" w:cs="Courier New" w:hint="default"/>
      </w:rPr>
    </w:lvl>
    <w:lvl w:ilvl="8" w:tplc="04090005" w:tentative="1">
      <w:start w:val="1"/>
      <w:numFmt w:val="bullet"/>
      <w:lvlText w:val=""/>
      <w:lvlJc w:val="left"/>
      <w:pPr>
        <w:ind w:left="6517" w:hanging="360"/>
      </w:pPr>
      <w:rPr>
        <w:rFonts w:ascii="Wingdings" w:hAnsi="Wingdings" w:hint="default"/>
      </w:rPr>
    </w:lvl>
  </w:abstractNum>
  <w:abstractNum w:abstractNumId="17">
    <w:nsid w:val="2086735F"/>
    <w:multiLevelType w:val="multilevel"/>
    <w:tmpl w:val="F1420D32"/>
    <w:styleLink w:val="TableBullets"/>
    <w:lvl w:ilvl="0">
      <w:start w:val="1"/>
      <w:numFmt w:val="bullet"/>
      <w:pStyle w:val="TableBullet"/>
      <w:lvlText w:val=""/>
      <w:lvlJc w:val="left"/>
      <w:pPr>
        <w:tabs>
          <w:tab w:val="num" w:pos="170"/>
        </w:tabs>
        <w:ind w:left="170" w:hanging="17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nsid w:val="21050236"/>
    <w:multiLevelType w:val="multilevel"/>
    <w:tmpl w:val="FD7E8B74"/>
    <w:styleLink w:val="Sources"/>
    <w:lvl w:ilvl="0">
      <w:start w:val="1"/>
      <w:numFmt w:val="none"/>
      <w:lvlText w:val="Source:"/>
      <w:lvlJc w:val="left"/>
      <w:pPr>
        <w:tabs>
          <w:tab w:val="num" w:pos="624"/>
        </w:tabs>
        <w:ind w:left="624" w:hanging="624"/>
      </w:pPr>
      <w:rPr>
        <w:rFonts w:cs="Times New Roman" w:hint="default"/>
      </w:rPr>
    </w:lvl>
    <w:lvl w:ilvl="1">
      <w:start w:val="1"/>
      <w:numFmt w:val="none"/>
      <w:lvlText w:val=""/>
      <w:lvlJc w:val="left"/>
      <w:pPr>
        <w:ind w:left="720" w:hanging="360"/>
      </w:pPr>
      <w:rPr>
        <w:rFonts w:cs="Times New Roman" w:hint="default"/>
      </w:rPr>
    </w:lvl>
    <w:lvl w:ilvl="2">
      <w:start w:val="1"/>
      <w:numFmt w:val="none"/>
      <w:lvlText w:val=""/>
      <w:lvlJc w:val="left"/>
      <w:pPr>
        <w:ind w:left="1080" w:hanging="360"/>
      </w:pPr>
      <w:rPr>
        <w:rFonts w:cs="Times New Roman" w:hint="default"/>
      </w:rPr>
    </w:lvl>
    <w:lvl w:ilvl="3">
      <w:start w:val="1"/>
      <w:numFmt w:val="none"/>
      <w:lvlText w:val=""/>
      <w:lvlJc w:val="left"/>
      <w:pPr>
        <w:ind w:left="1440" w:hanging="360"/>
      </w:pPr>
      <w:rPr>
        <w:rFonts w:cs="Times New Roman" w:hint="default"/>
      </w:rPr>
    </w:lvl>
    <w:lvl w:ilvl="4">
      <w:start w:val="1"/>
      <w:numFmt w:val="none"/>
      <w:lvlText w:val=""/>
      <w:lvlJc w:val="left"/>
      <w:pPr>
        <w:ind w:left="1800" w:hanging="360"/>
      </w:pPr>
      <w:rPr>
        <w:rFonts w:cs="Times New Roman" w:hint="default"/>
      </w:rPr>
    </w:lvl>
    <w:lvl w:ilvl="5">
      <w:start w:val="1"/>
      <w:numFmt w:val="none"/>
      <w:lvlText w:val=""/>
      <w:lvlJc w:val="left"/>
      <w:pPr>
        <w:ind w:left="2160" w:hanging="360"/>
      </w:pPr>
      <w:rPr>
        <w:rFonts w:cs="Times New Roman" w:hint="default"/>
      </w:rPr>
    </w:lvl>
    <w:lvl w:ilvl="6">
      <w:start w:val="1"/>
      <w:numFmt w:val="none"/>
      <w:lvlText w:val=""/>
      <w:lvlJc w:val="left"/>
      <w:pPr>
        <w:ind w:left="2520" w:hanging="360"/>
      </w:pPr>
      <w:rPr>
        <w:rFonts w:cs="Times New Roman" w:hint="default"/>
      </w:rPr>
    </w:lvl>
    <w:lvl w:ilvl="7">
      <w:start w:val="1"/>
      <w:numFmt w:val="none"/>
      <w:lvlText w:val=""/>
      <w:lvlJc w:val="left"/>
      <w:pPr>
        <w:ind w:left="2880" w:hanging="360"/>
      </w:pPr>
      <w:rPr>
        <w:rFonts w:cs="Times New Roman" w:hint="default"/>
      </w:rPr>
    </w:lvl>
    <w:lvl w:ilvl="8">
      <w:start w:val="1"/>
      <w:numFmt w:val="none"/>
      <w:lvlText w:val=""/>
      <w:lvlJc w:val="left"/>
      <w:pPr>
        <w:ind w:left="3240" w:hanging="360"/>
      </w:pPr>
      <w:rPr>
        <w:rFonts w:cs="Times New Roman" w:hint="default"/>
      </w:rPr>
    </w:lvl>
  </w:abstractNum>
  <w:abstractNum w:abstractNumId="19">
    <w:nsid w:val="246900A7"/>
    <w:multiLevelType w:val="multilevel"/>
    <w:tmpl w:val="3D24DB66"/>
    <w:lvl w:ilvl="0">
      <w:start w:val="1"/>
      <w:numFmt w:val="bullet"/>
      <w:lvlText w:val="●"/>
      <w:lvlJc w:val="left"/>
      <w:pPr>
        <w:ind w:left="199" w:firstLine="0"/>
      </w:pPr>
      <w:rPr>
        <w:rFonts w:ascii="Arial" w:eastAsia="Arial" w:hAnsi="Arial" w:cs="Arial"/>
      </w:rPr>
    </w:lvl>
    <w:lvl w:ilvl="1">
      <w:start w:val="1"/>
      <w:numFmt w:val="bullet"/>
      <w:lvlText w:val="–"/>
      <w:lvlJc w:val="left"/>
      <w:pPr>
        <w:ind w:left="397" w:firstLine="199"/>
      </w:pPr>
      <w:rPr>
        <w:rFonts w:ascii="Arial" w:eastAsia="Arial" w:hAnsi="Arial" w:cs="Arial"/>
      </w:rPr>
    </w:lvl>
    <w:lvl w:ilvl="2">
      <w:start w:val="1"/>
      <w:numFmt w:val="bullet"/>
      <w:lvlText w:val="o"/>
      <w:lvlJc w:val="left"/>
      <w:pPr>
        <w:ind w:left="595" w:firstLine="397"/>
      </w:pPr>
      <w:rPr>
        <w:rFonts w:ascii="Courier New" w:hAnsi="Courier New" w:cs="Courier New" w:hint="default"/>
      </w:rPr>
    </w:lvl>
    <w:lvl w:ilvl="3">
      <w:start w:val="1"/>
      <w:numFmt w:val="decimal"/>
      <w:lvlText w:val=""/>
      <w:lvlJc w:val="left"/>
      <w:pPr>
        <w:ind w:left="2880" w:firstLine="2520"/>
      </w:pPr>
    </w:lvl>
    <w:lvl w:ilvl="4">
      <w:start w:val="1"/>
      <w:numFmt w:val="decimal"/>
      <w:lvlText w:val=""/>
      <w:lvlJc w:val="left"/>
      <w:pPr>
        <w:ind w:left="3600" w:firstLine="3240"/>
      </w:pPr>
    </w:lvl>
    <w:lvl w:ilvl="5">
      <w:start w:val="1"/>
      <w:numFmt w:val="decimal"/>
      <w:lvlText w:val=""/>
      <w:lvlJc w:val="left"/>
      <w:pPr>
        <w:ind w:left="4320" w:firstLine="3960"/>
      </w:pPr>
    </w:lvl>
    <w:lvl w:ilvl="6">
      <w:start w:val="1"/>
      <w:numFmt w:val="decimal"/>
      <w:lvlText w:val=""/>
      <w:lvlJc w:val="left"/>
      <w:pPr>
        <w:ind w:left="5040" w:firstLine="4680"/>
      </w:pPr>
    </w:lvl>
    <w:lvl w:ilvl="7">
      <w:start w:val="1"/>
      <w:numFmt w:val="decimal"/>
      <w:lvlText w:val=""/>
      <w:lvlJc w:val="left"/>
      <w:pPr>
        <w:ind w:left="5760" w:firstLine="5400"/>
      </w:pPr>
    </w:lvl>
    <w:lvl w:ilvl="8">
      <w:start w:val="1"/>
      <w:numFmt w:val="decimal"/>
      <w:lvlText w:val=""/>
      <w:lvlJc w:val="left"/>
      <w:pPr>
        <w:ind w:left="6480" w:firstLine="6120"/>
      </w:pPr>
    </w:lvl>
  </w:abstractNum>
  <w:abstractNum w:abstractNumId="20">
    <w:nsid w:val="25FA29B8"/>
    <w:multiLevelType w:val="multilevel"/>
    <w:tmpl w:val="8978679E"/>
    <w:lvl w:ilvl="0">
      <w:start w:val="1"/>
      <w:numFmt w:val="bullet"/>
      <w:lvlText w:val="-"/>
      <w:lvlJc w:val="left"/>
      <w:pPr>
        <w:ind w:left="199" w:firstLine="0"/>
      </w:pPr>
      <w:rPr>
        <w:rFonts w:ascii="Symbol" w:hAnsi="Symbol" w:hint="default"/>
      </w:rPr>
    </w:lvl>
    <w:lvl w:ilvl="1">
      <w:start w:val="1"/>
      <w:numFmt w:val="bullet"/>
      <w:lvlText w:val="–"/>
      <w:lvlJc w:val="left"/>
      <w:pPr>
        <w:ind w:left="397" w:firstLine="199"/>
      </w:pPr>
      <w:rPr>
        <w:rFonts w:ascii="Arial" w:eastAsia="Arial" w:hAnsi="Arial" w:cs="Arial"/>
      </w:rPr>
    </w:lvl>
    <w:lvl w:ilvl="2">
      <w:start w:val="1"/>
      <w:numFmt w:val="bullet"/>
      <w:lvlText w:val="–"/>
      <w:lvlJc w:val="left"/>
      <w:pPr>
        <w:ind w:left="595" w:firstLine="397"/>
      </w:pPr>
      <w:rPr>
        <w:rFonts w:ascii="Arial" w:eastAsia="Arial" w:hAnsi="Arial" w:cs="Arial"/>
      </w:rPr>
    </w:lvl>
    <w:lvl w:ilvl="3">
      <w:start w:val="1"/>
      <w:numFmt w:val="decimal"/>
      <w:lvlText w:val=""/>
      <w:lvlJc w:val="left"/>
      <w:pPr>
        <w:ind w:left="2880" w:firstLine="2520"/>
      </w:pPr>
    </w:lvl>
    <w:lvl w:ilvl="4">
      <w:start w:val="1"/>
      <w:numFmt w:val="decimal"/>
      <w:lvlText w:val=""/>
      <w:lvlJc w:val="left"/>
      <w:pPr>
        <w:ind w:left="3600" w:firstLine="3240"/>
      </w:pPr>
    </w:lvl>
    <w:lvl w:ilvl="5">
      <w:start w:val="1"/>
      <w:numFmt w:val="decimal"/>
      <w:lvlText w:val=""/>
      <w:lvlJc w:val="left"/>
      <w:pPr>
        <w:ind w:left="4320" w:firstLine="3960"/>
      </w:pPr>
    </w:lvl>
    <w:lvl w:ilvl="6">
      <w:start w:val="1"/>
      <w:numFmt w:val="decimal"/>
      <w:lvlText w:val=""/>
      <w:lvlJc w:val="left"/>
      <w:pPr>
        <w:ind w:left="5040" w:firstLine="4680"/>
      </w:pPr>
    </w:lvl>
    <w:lvl w:ilvl="7">
      <w:start w:val="1"/>
      <w:numFmt w:val="decimal"/>
      <w:lvlText w:val=""/>
      <w:lvlJc w:val="left"/>
      <w:pPr>
        <w:ind w:left="5760" w:firstLine="5400"/>
      </w:pPr>
    </w:lvl>
    <w:lvl w:ilvl="8">
      <w:start w:val="1"/>
      <w:numFmt w:val="decimal"/>
      <w:lvlText w:val=""/>
      <w:lvlJc w:val="left"/>
      <w:pPr>
        <w:ind w:left="6480" w:firstLine="6120"/>
      </w:pPr>
    </w:lvl>
  </w:abstractNum>
  <w:abstractNum w:abstractNumId="21">
    <w:nsid w:val="2758270B"/>
    <w:multiLevelType w:val="hybridMultilevel"/>
    <w:tmpl w:val="1B38A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8B57485"/>
    <w:multiLevelType w:val="multilevel"/>
    <w:tmpl w:val="0C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3">
    <w:nsid w:val="2CDC2D20"/>
    <w:multiLevelType w:val="hybridMultilevel"/>
    <w:tmpl w:val="D8AA9C86"/>
    <w:lvl w:ilvl="0" w:tplc="C220CD8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67614C6"/>
    <w:multiLevelType w:val="multilevel"/>
    <w:tmpl w:val="0C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5">
    <w:nsid w:val="3A9B7937"/>
    <w:multiLevelType w:val="hybridMultilevel"/>
    <w:tmpl w:val="2FDC5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D0E06F8"/>
    <w:multiLevelType w:val="hybridMultilevel"/>
    <w:tmpl w:val="00D2C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265682E"/>
    <w:multiLevelType w:val="multilevel"/>
    <w:tmpl w:val="D9CAA11C"/>
    <w:styleLink w:val="Bullets"/>
    <w:lvl w:ilvl="0">
      <w:start w:val="1"/>
      <w:numFmt w:val="bullet"/>
      <w:pStyle w:val="ListBullet"/>
      <w:lvlText w:val=""/>
      <w:lvlJc w:val="left"/>
      <w:pPr>
        <w:tabs>
          <w:tab w:val="num" w:pos="199"/>
        </w:tabs>
        <w:ind w:left="199" w:hanging="199"/>
      </w:pPr>
      <w:rPr>
        <w:rFonts w:ascii="Symbol" w:hAnsi="Symbol" w:hint="default"/>
      </w:rPr>
    </w:lvl>
    <w:lvl w:ilvl="1">
      <w:start w:val="1"/>
      <w:numFmt w:val="bullet"/>
      <w:pStyle w:val="ListBullet2"/>
      <w:lvlText w:val="–"/>
      <w:lvlJc w:val="left"/>
      <w:pPr>
        <w:tabs>
          <w:tab w:val="num" w:pos="397"/>
        </w:tabs>
        <w:ind w:left="397" w:hanging="198"/>
      </w:pPr>
      <w:rPr>
        <w:rFonts w:ascii="Arial" w:hAnsi="Arial" w:hint="default"/>
      </w:rPr>
    </w:lvl>
    <w:lvl w:ilvl="2">
      <w:start w:val="1"/>
      <w:numFmt w:val="bullet"/>
      <w:pStyle w:val="ListBullet3"/>
      <w:lvlText w:val="–"/>
      <w:lvlJc w:val="left"/>
      <w:pPr>
        <w:tabs>
          <w:tab w:val="num" w:pos="595"/>
        </w:tabs>
        <w:ind w:left="595" w:hanging="198"/>
      </w:pPr>
      <w:rPr>
        <w:rFonts w:ascii="Arial" w:hAnsi="Arial" w:hint="default"/>
      </w:rPr>
    </w:lvl>
    <w:lvl w:ilvl="3">
      <w:start w:val="1"/>
      <w:numFmt w:val="none"/>
      <w:lvlText w:val=""/>
      <w:lvlJc w:val="left"/>
      <w:pPr>
        <w:ind w:left="2880" w:hanging="360"/>
      </w:pPr>
      <w:rPr>
        <w:rFonts w:cs="Times New Roman" w:hint="default"/>
      </w:rPr>
    </w:lvl>
    <w:lvl w:ilvl="4">
      <w:start w:val="1"/>
      <w:numFmt w:val="none"/>
      <w:lvlText w:val=""/>
      <w:lvlJc w:val="left"/>
      <w:pPr>
        <w:ind w:left="3600" w:hanging="360"/>
      </w:pPr>
      <w:rPr>
        <w:rFonts w:cs="Times New Roman" w:hint="default"/>
      </w:rPr>
    </w:lvl>
    <w:lvl w:ilvl="5">
      <w:start w:val="1"/>
      <w:numFmt w:val="none"/>
      <w:lvlText w:val=""/>
      <w:lvlJc w:val="left"/>
      <w:pPr>
        <w:ind w:left="4320" w:hanging="360"/>
      </w:pPr>
      <w:rPr>
        <w:rFonts w:cs="Times New Roman" w:hint="default"/>
      </w:rPr>
    </w:lvl>
    <w:lvl w:ilvl="6">
      <w:start w:val="1"/>
      <w:numFmt w:val="none"/>
      <w:lvlText w:val=""/>
      <w:lvlJc w:val="left"/>
      <w:pPr>
        <w:ind w:left="5040" w:hanging="360"/>
      </w:pPr>
      <w:rPr>
        <w:rFonts w:cs="Times New Roman" w:hint="default"/>
      </w:rPr>
    </w:lvl>
    <w:lvl w:ilvl="7">
      <w:start w:val="1"/>
      <w:numFmt w:val="none"/>
      <w:lvlText w:val=""/>
      <w:lvlJc w:val="left"/>
      <w:pPr>
        <w:ind w:left="5760" w:hanging="360"/>
      </w:pPr>
      <w:rPr>
        <w:rFonts w:cs="Times New Roman" w:hint="default"/>
      </w:rPr>
    </w:lvl>
    <w:lvl w:ilvl="8">
      <w:start w:val="1"/>
      <w:numFmt w:val="none"/>
      <w:lvlText w:val=""/>
      <w:lvlJc w:val="left"/>
      <w:pPr>
        <w:ind w:left="6480" w:hanging="360"/>
      </w:pPr>
      <w:rPr>
        <w:rFonts w:cs="Times New Roman" w:hint="default"/>
      </w:rPr>
    </w:lvl>
  </w:abstractNum>
  <w:abstractNum w:abstractNumId="28">
    <w:nsid w:val="42E04669"/>
    <w:multiLevelType w:val="multilevel"/>
    <w:tmpl w:val="DD7ED74C"/>
    <w:lvl w:ilvl="0">
      <w:start w:val="1"/>
      <w:numFmt w:val="decimal"/>
      <w:lvlText w:val="%1"/>
      <w:lvlJc w:val="left"/>
      <w:pPr>
        <w:ind w:left="432" w:firstLine="0"/>
      </w:pPr>
    </w:lvl>
    <w:lvl w:ilvl="1">
      <w:start w:val="1"/>
      <w:numFmt w:val="decimal"/>
      <w:lvlText w:val="%1.%2"/>
      <w:lvlJc w:val="left"/>
      <w:pPr>
        <w:ind w:left="576" w:firstLine="0"/>
      </w:pPr>
    </w:lvl>
    <w:lvl w:ilvl="2">
      <w:start w:val="1"/>
      <w:numFmt w:val="decimal"/>
      <w:lvlText w:val="%1.%2.%3"/>
      <w:lvlJc w:val="left"/>
      <w:pPr>
        <w:ind w:left="720" w:firstLine="0"/>
      </w:pPr>
    </w:lvl>
    <w:lvl w:ilvl="3">
      <w:start w:val="1"/>
      <w:numFmt w:val="decimal"/>
      <w:lvlText w:val="%1.%2.%3.%4"/>
      <w:lvlJc w:val="left"/>
      <w:pPr>
        <w:ind w:left="864" w:firstLine="0"/>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29">
    <w:nsid w:val="43170263"/>
    <w:multiLevelType w:val="hybridMultilevel"/>
    <w:tmpl w:val="9C783EAE"/>
    <w:lvl w:ilvl="0" w:tplc="C220CD88">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0">
    <w:nsid w:val="4334681B"/>
    <w:multiLevelType w:val="hybridMultilevel"/>
    <w:tmpl w:val="637C0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3F71C1A"/>
    <w:multiLevelType w:val="hybridMultilevel"/>
    <w:tmpl w:val="9CB2F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5161567"/>
    <w:multiLevelType w:val="hybridMultilevel"/>
    <w:tmpl w:val="A31C1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C4651B3"/>
    <w:multiLevelType w:val="multilevel"/>
    <w:tmpl w:val="31608D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48A74B8"/>
    <w:multiLevelType w:val="multilevel"/>
    <w:tmpl w:val="1B1C781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5">
    <w:nsid w:val="55962D89"/>
    <w:multiLevelType w:val="multilevel"/>
    <w:tmpl w:val="4E1888A2"/>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Calibri" w:eastAsiaTheme="minorHAnsi" w:hAnsi="Calibri"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9444BE6"/>
    <w:multiLevelType w:val="multilevel"/>
    <w:tmpl w:val="707CAC94"/>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decimal"/>
      <w:pStyle w:val="Heading3"/>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color w:val="000000"/>
        <w:spacing w:val="0"/>
        <w:kern w:val="0"/>
        <w:position w:val="0"/>
        <w:u w:val="none"/>
        <w:vertAlign w:val="baseline"/>
        <w:em w:val="none"/>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7">
    <w:nsid w:val="5A1767B6"/>
    <w:multiLevelType w:val="multilevel"/>
    <w:tmpl w:val="A83EDF48"/>
    <w:styleLink w:val="Numbers"/>
    <w:lvl w:ilvl="0">
      <w:start w:val="1"/>
      <w:numFmt w:val="decimal"/>
      <w:pStyle w:val="ListNumber"/>
      <w:lvlText w:val="%1."/>
      <w:lvlJc w:val="left"/>
      <w:pPr>
        <w:tabs>
          <w:tab w:val="num" w:pos="227"/>
        </w:tabs>
        <w:ind w:left="227" w:hanging="227"/>
      </w:pPr>
      <w:rPr>
        <w:rFonts w:cs="Times New Roman" w:hint="default"/>
      </w:rPr>
    </w:lvl>
    <w:lvl w:ilvl="1">
      <w:start w:val="1"/>
      <w:numFmt w:val="none"/>
      <w:lvlText w:val=""/>
      <w:lvlJc w:val="left"/>
      <w:pPr>
        <w:ind w:left="1440" w:hanging="360"/>
      </w:pPr>
      <w:rPr>
        <w:rFonts w:cs="Times New Roman" w:hint="default"/>
      </w:rPr>
    </w:lvl>
    <w:lvl w:ilvl="2">
      <w:start w:val="1"/>
      <w:numFmt w:val="none"/>
      <w:lvlText w:val=""/>
      <w:lvlJc w:val="right"/>
      <w:pPr>
        <w:ind w:left="2160" w:hanging="180"/>
      </w:pPr>
      <w:rPr>
        <w:rFonts w:cs="Times New Roman" w:hint="default"/>
      </w:rPr>
    </w:lvl>
    <w:lvl w:ilvl="3">
      <w:start w:val="1"/>
      <w:numFmt w:val="none"/>
      <w:lvlText w:val=""/>
      <w:lvlJc w:val="left"/>
      <w:pPr>
        <w:ind w:left="2880" w:hanging="360"/>
      </w:pPr>
      <w:rPr>
        <w:rFonts w:cs="Times New Roman" w:hint="default"/>
      </w:rPr>
    </w:lvl>
    <w:lvl w:ilvl="4">
      <w:start w:val="1"/>
      <w:numFmt w:val="none"/>
      <w:lvlText w:val=""/>
      <w:lvlJc w:val="left"/>
      <w:pPr>
        <w:ind w:left="3600" w:hanging="360"/>
      </w:pPr>
      <w:rPr>
        <w:rFonts w:cs="Times New Roman" w:hint="default"/>
      </w:rPr>
    </w:lvl>
    <w:lvl w:ilvl="5">
      <w:start w:val="1"/>
      <w:numFmt w:val="none"/>
      <w:lvlText w:val=""/>
      <w:lvlJc w:val="right"/>
      <w:pPr>
        <w:ind w:left="4320" w:hanging="180"/>
      </w:pPr>
      <w:rPr>
        <w:rFonts w:cs="Times New Roman" w:hint="default"/>
      </w:rPr>
    </w:lvl>
    <w:lvl w:ilvl="6">
      <w:start w:val="1"/>
      <w:numFmt w:val="none"/>
      <w:lvlText w:val=""/>
      <w:lvlJc w:val="left"/>
      <w:pPr>
        <w:ind w:left="5040" w:hanging="360"/>
      </w:pPr>
      <w:rPr>
        <w:rFonts w:cs="Times New Roman" w:hint="default"/>
      </w:rPr>
    </w:lvl>
    <w:lvl w:ilvl="7">
      <w:start w:val="1"/>
      <w:numFmt w:val="none"/>
      <w:lvlText w:val=""/>
      <w:lvlJc w:val="left"/>
      <w:pPr>
        <w:ind w:left="5760" w:hanging="360"/>
      </w:pPr>
      <w:rPr>
        <w:rFonts w:cs="Times New Roman" w:hint="default"/>
      </w:rPr>
    </w:lvl>
    <w:lvl w:ilvl="8">
      <w:start w:val="1"/>
      <w:numFmt w:val="none"/>
      <w:lvlText w:val=""/>
      <w:lvlJc w:val="right"/>
      <w:pPr>
        <w:ind w:left="6480" w:hanging="180"/>
      </w:pPr>
      <w:rPr>
        <w:rFonts w:cs="Times New Roman" w:hint="default"/>
      </w:rPr>
    </w:lvl>
  </w:abstractNum>
  <w:abstractNum w:abstractNumId="38">
    <w:nsid w:val="5B353D1F"/>
    <w:multiLevelType w:val="multilevel"/>
    <w:tmpl w:val="17880568"/>
    <w:lvl w:ilvl="0">
      <w:start w:val="1"/>
      <w:numFmt w:val="bullet"/>
      <w:lvlText w:val="●"/>
      <w:lvlJc w:val="left"/>
      <w:pPr>
        <w:ind w:left="199" w:firstLine="0"/>
      </w:pPr>
      <w:rPr>
        <w:rFonts w:ascii="Arial" w:eastAsia="Arial" w:hAnsi="Arial" w:cs="Arial"/>
      </w:rPr>
    </w:lvl>
    <w:lvl w:ilvl="1">
      <w:start w:val="1"/>
      <w:numFmt w:val="bullet"/>
      <w:lvlText w:val="–"/>
      <w:lvlJc w:val="left"/>
      <w:pPr>
        <w:ind w:left="397" w:firstLine="199"/>
      </w:pPr>
      <w:rPr>
        <w:rFonts w:ascii="Arial" w:eastAsia="Arial" w:hAnsi="Arial" w:cs="Arial"/>
      </w:rPr>
    </w:lvl>
    <w:lvl w:ilvl="2">
      <w:start w:val="1"/>
      <w:numFmt w:val="bullet"/>
      <w:lvlText w:val="–"/>
      <w:lvlJc w:val="left"/>
      <w:pPr>
        <w:ind w:left="595" w:firstLine="397"/>
      </w:pPr>
      <w:rPr>
        <w:rFonts w:ascii="Arial" w:eastAsia="Arial" w:hAnsi="Arial" w:cs="Arial"/>
      </w:rPr>
    </w:lvl>
    <w:lvl w:ilvl="3">
      <w:start w:val="1"/>
      <w:numFmt w:val="decimal"/>
      <w:lvlText w:val=""/>
      <w:lvlJc w:val="left"/>
      <w:pPr>
        <w:ind w:left="2880" w:firstLine="2520"/>
      </w:pPr>
    </w:lvl>
    <w:lvl w:ilvl="4">
      <w:start w:val="1"/>
      <w:numFmt w:val="decimal"/>
      <w:lvlText w:val=""/>
      <w:lvlJc w:val="left"/>
      <w:pPr>
        <w:ind w:left="3600" w:firstLine="3240"/>
      </w:pPr>
    </w:lvl>
    <w:lvl w:ilvl="5">
      <w:start w:val="1"/>
      <w:numFmt w:val="decimal"/>
      <w:lvlText w:val=""/>
      <w:lvlJc w:val="left"/>
      <w:pPr>
        <w:ind w:left="4320" w:firstLine="3960"/>
      </w:pPr>
    </w:lvl>
    <w:lvl w:ilvl="6">
      <w:start w:val="1"/>
      <w:numFmt w:val="decimal"/>
      <w:lvlText w:val=""/>
      <w:lvlJc w:val="left"/>
      <w:pPr>
        <w:ind w:left="5040" w:firstLine="4680"/>
      </w:pPr>
    </w:lvl>
    <w:lvl w:ilvl="7">
      <w:start w:val="1"/>
      <w:numFmt w:val="decimal"/>
      <w:lvlText w:val=""/>
      <w:lvlJc w:val="left"/>
      <w:pPr>
        <w:ind w:left="5760" w:firstLine="5400"/>
      </w:pPr>
    </w:lvl>
    <w:lvl w:ilvl="8">
      <w:start w:val="1"/>
      <w:numFmt w:val="decimal"/>
      <w:lvlText w:val=""/>
      <w:lvlJc w:val="left"/>
      <w:pPr>
        <w:ind w:left="6480" w:firstLine="6120"/>
      </w:pPr>
    </w:lvl>
  </w:abstractNum>
  <w:abstractNum w:abstractNumId="39">
    <w:nsid w:val="5C79680D"/>
    <w:multiLevelType w:val="hybridMultilevel"/>
    <w:tmpl w:val="F6D4B5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F4C27FB"/>
    <w:multiLevelType w:val="multilevel"/>
    <w:tmpl w:val="0C09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41">
    <w:nsid w:val="60B53A9A"/>
    <w:multiLevelType w:val="hybridMultilevel"/>
    <w:tmpl w:val="A9BAE6FA"/>
    <w:lvl w:ilvl="0" w:tplc="C220CD8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3197AC4"/>
    <w:multiLevelType w:val="hybridMultilevel"/>
    <w:tmpl w:val="2E62D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6063429"/>
    <w:multiLevelType w:val="multilevel"/>
    <w:tmpl w:val="8E967A44"/>
    <w:lvl w:ilvl="0">
      <w:start w:val="1"/>
      <w:numFmt w:val="upperLetter"/>
      <w:pStyle w:val="AppendixHeading1base"/>
      <w:lvlText w:val="Appendix %1 "/>
      <w:lvlJc w:val="left"/>
      <w:pPr>
        <w:ind w:left="0" w:firstLine="0"/>
      </w:pPr>
      <w:rPr>
        <w:rFonts w:cs="Times New Roman"/>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AppendixHeading2"/>
      <w:lvlText w:val="%1.%2"/>
      <w:lvlJc w:val="left"/>
      <w:pPr>
        <w:ind w:left="0" w:firstLine="0"/>
      </w:pPr>
      <w:rPr>
        <w:rFonts w:hint="default"/>
      </w:rPr>
    </w:lvl>
    <w:lvl w:ilvl="2">
      <w:start w:val="1"/>
      <w:numFmt w:val="decimal"/>
      <w:pStyle w:val="AppendixHeading3"/>
      <w:lvlText w:val="%1.%2.%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44">
    <w:nsid w:val="6AF34BC9"/>
    <w:multiLevelType w:val="hybridMultilevel"/>
    <w:tmpl w:val="2CE0E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1DA003A"/>
    <w:multiLevelType w:val="hybridMultilevel"/>
    <w:tmpl w:val="A386C6AA"/>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hint="default"/>
      </w:rPr>
    </w:lvl>
    <w:lvl w:ilvl="8" w:tplc="04090005" w:tentative="1">
      <w:start w:val="1"/>
      <w:numFmt w:val="bullet"/>
      <w:lvlText w:val=""/>
      <w:lvlJc w:val="left"/>
      <w:pPr>
        <w:ind w:left="6527" w:hanging="360"/>
      </w:pPr>
      <w:rPr>
        <w:rFonts w:ascii="Wingdings" w:hAnsi="Wingdings" w:hint="default"/>
      </w:rPr>
    </w:lvl>
  </w:abstractNum>
  <w:num w:numId="1">
    <w:abstractNumId w:val="5"/>
  </w:num>
  <w:num w:numId="2">
    <w:abstractNumId w:val="4"/>
  </w:num>
  <w:num w:numId="3">
    <w:abstractNumId w:val="3"/>
  </w:num>
  <w:num w:numId="4">
    <w:abstractNumId w:val="2"/>
  </w:num>
  <w:num w:numId="5">
    <w:abstractNumId w:val="1"/>
  </w:num>
  <w:num w:numId="6">
    <w:abstractNumId w:val="27"/>
  </w:num>
  <w:num w:numId="7">
    <w:abstractNumId w:val="18"/>
  </w:num>
  <w:num w:numId="8">
    <w:abstractNumId w:val="17"/>
  </w:num>
  <w:num w:numId="9">
    <w:abstractNumId w:val="37"/>
  </w:num>
  <w:num w:numId="10">
    <w:abstractNumId w:val="24"/>
  </w:num>
  <w:num w:numId="11">
    <w:abstractNumId w:val="22"/>
  </w:num>
  <w:num w:numId="12">
    <w:abstractNumId w:val="40"/>
  </w:num>
  <w:num w:numId="13">
    <w:abstractNumId w:val="0"/>
  </w:num>
  <w:num w:numId="14">
    <w:abstractNumId w:val="36"/>
  </w:num>
  <w:num w:numId="15">
    <w:abstractNumId w:val="43"/>
  </w:num>
  <w:num w:numId="16">
    <w:abstractNumId w:val="12"/>
  </w:num>
  <w:num w:numId="17">
    <w:abstractNumId w:val="39"/>
  </w:num>
  <w:num w:numId="18">
    <w:abstractNumId w:val="11"/>
  </w:num>
  <w:num w:numId="19">
    <w:abstractNumId w:val="6"/>
  </w:num>
  <w:num w:numId="20">
    <w:abstractNumId w:val="35"/>
  </w:num>
  <w:num w:numId="21">
    <w:abstractNumId w:val="21"/>
  </w:num>
  <w:num w:numId="22">
    <w:abstractNumId w:val="7"/>
  </w:num>
  <w:num w:numId="23">
    <w:abstractNumId w:val="33"/>
  </w:num>
  <w:num w:numId="24">
    <w:abstractNumId w:val="26"/>
  </w:num>
  <w:num w:numId="25">
    <w:abstractNumId w:val="8"/>
  </w:num>
  <w:num w:numId="26">
    <w:abstractNumId w:val="28"/>
  </w:num>
  <w:num w:numId="27">
    <w:abstractNumId w:val="38"/>
  </w:num>
  <w:num w:numId="28">
    <w:abstractNumId w:val="25"/>
  </w:num>
  <w:num w:numId="29">
    <w:abstractNumId w:val="31"/>
  </w:num>
  <w:num w:numId="30">
    <w:abstractNumId w:val="44"/>
  </w:num>
  <w:num w:numId="31">
    <w:abstractNumId w:val="9"/>
  </w:num>
  <w:num w:numId="32">
    <w:abstractNumId w:val="34"/>
  </w:num>
  <w:num w:numId="33">
    <w:abstractNumId w:val="42"/>
  </w:num>
  <w:num w:numId="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num>
  <w:num w:numId="36">
    <w:abstractNumId w:val="45"/>
  </w:num>
  <w:num w:numId="37">
    <w:abstractNumId w:val="10"/>
  </w:num>
  <w:num w:numId="38">
    <w:abstractNumId w:val="32"/>
  </w:num>
  <w:num w:numId="39">
    <w:abstractNumId w:val="15"/>
  </w:num>
  <w:num w:numId="40">
    <w:abstractNumId w:val="23"/>
  </w:num>
  <w:num w:numId="41">
    <w:abstractNumId w:val="20"/>
  </w:num>
  <w:num w:numId="42">
    <w:abstractNumId w:val="29"/>
  </w:num>
  <w:num w:numId="43">
    <w:abstractNumId w:val="14"/>
  </w:num>
  <w:num w:numId="44">
    <w:abstractNumId w:val="19"/>
  </w:num>
  <w:num w:numId="45">
    <w:abstractNumId w:val="13"/>
  </w:num>
  <w:num w:numId="46">
    <w:abstractNumId w:val="41"/>
  </w:num>
  <w:num w:numId="47">
    <w:abstractNumId w:val="16"/>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stylePaneFormatFilter w:val="4004"/>
  <w:defaultTabStop w:val="720"/>
  <w:evenAndOddHeaders/>
  <w:drawingGridHorizontalSpacing w:val="110"/>
  <w:displayHorizontalDrawingGridEvery w:val="2"/>
  <w:characterSpacingControl w:val="doNotCompress"/>
  <w:hdrShapeDefaults>
    <o:shapedefaults v:ext="edit" spidmax="4136">
      <o:colormru v:ext="edit" colors="#ddd,#f8f8f8"/>
      <o:colormenu v:ext="edit" fillcolor="#f8f8f8"/>
    </o:shapedefaults>
    <o:shapelayout v:ext="edit">
      <o:idmap v:ext="edit" data="4"/>
    </o:shapelayout>
  </w:hdrShapeDefaults>
  <w:footnotePr>
    <w:footnote w:id="0"/>
    <w:footnote w:id="1"/>
  </w:footnotePr>
  <w:endnotePr>
    <w:endnote w:id="0"/>
    <w:endnote w:id="1"/>
  </w:endnotePr>
  <w:compat/>
  <w:docVars>
    <w:docVar w:name="ColourChosen" w:val="Core"/>
    <w:docVar w:name="CoverChosen" w:val="Standard"/>
  </w:docVars>
  <w:rsids>
    <w:rsidRoot w:val="00EB2906"/>
    <w:rsid w:val="00000EEA"/>
    <w:rsid w:val="00002AA7"/>
    <w:rsid w:val="000031E1"/>
    <w:rsid w:val="00011FC6"/>
    <w:rsid w:val="000126EB"/>
    <w:rsid w:val="00015E4E"/>
    <w:rsid w:val="00015E82"/>
    <w:rsid w:val="0001775B"/>
    <w:rsid w:val="0002229A"/>
    <w:rsid w:val="00024F6E"/>
    <w:rsid w:val="00025FD5"/>
    <w:rsid w:val="0002686D"/>
    <w:rsid w:val="000316D4"/>
    <w:rsid w:val="0003217B"/>
    <w:rsid w:val="00032C10"/>
    <w:rsid w:val="000331D4"/>
    <w:rsid w:val="00033F67"/>
    <w:rsid w:val="00036CEF"/>
    <w:rsid w:val="000408C7"/>
    <w:rsid w:val="00042A1A"/>
    <w:rsid w:val="00042E7B"/>
    <w:rsid w:val="00043876"/>
    <w:rsid w:val="000443E1"/>
    <w:rsid w:val="00046533"/>
    <w:rsid w:val="0005048B"/>
    <w:rsid w:val="00051219"/>
    <w:rsid w:val="00051456"/>
    <w:rsid w:val="0005226F"/>
    <w:rsid w:val="0005371F"/>
    <w:rsid w:val="00053E83"/>
    <w:rsid w:val="00056FD0"/>
    <w:rsid w:val="00060F08"/>
    <w:rsid w:val="00064612"/>
    <w:rsid w:val="000667A4"/>
    <w:rsid w:val="00071B54"/>
    <w:rsid w:val="00074DFE"/>
    <w:rsid w:val="00075774"/>
    <w:rsid w:val="00075B0B"/>
    <w:rsid w:val="00077EFF"/>
    <w:rsid w:val="000815C2"/>
    <w:rsid w:val="00083CBE"/>
    <w:rsid w:val="00084E29"/>
    <w:rsid w:val="00084F20"/>
    <w:rsid w:val="00085DC0"/>
    <w:rsid w:val="00086C2C"/>
    <w:rsid w:val="00087ADA"/>
    <w:rsid w:val="000923B4"/>
    <w:rsid w:val="000923EF"/>
    <w:rsid w:val="00092EE6"/>
    <w:rsid w:val="00097435"/>
    <w:rsid w:val="000979AD"/>
    <w:rsid w:val="000A6F40"/>
    <w:rsid w:val="000B0A3D"/>
    <w:rsid w:val="000B1470"/>
    <w:rsid w:val="000B3486"/>
    <w:rsid w:val="000B7387"/>
    <w:rsid w:val="000C02C0"/>
    <w:rsid w:val="000C05F1"/>
    <w:rsid w:val="000C0940"/>
    <w:rsid w:val="000C0E41"/>
    <w:rsid w:val="000C1AE8"/>
    <w:rsid w:val="000C2563"/>
    <w:rsid w:val="000C32C0"/>
    <w:rsid w:val="000C4051"/>
    <w:rsid w:val="000C5523"/>
    <w:rsid w:val="000C61C0"/>
    <w:rsid w:val="000C7D15"/>
    <w:rsid w:val="000D0298"/>
    <w:rsid w:val="000D19DE"/>
    <w:rsid w:val="000D436B"/>
    <w:rsid w:val="000D6D2F"/>
    <w:rsid w:val="000E1CF3"/>
    <w:rsid w:val="000E2422"/>
    <w:rsid w:val="000E2DC2"/>
    <w:rsid w:val="000E599F"/>
    <w:rsid w:val="000F1EC3"/>
    <w:rsid w:val="000F1FE4"/>
    <w:rsid w:val="000F5AB8"/>
    <w:rsid w:val="00101A2A"/>
    <w:rsid w:val="00101CB0"/>
    <w:rsid w:val="00104FBD"/>
    <w:rsid w:val="0010540E"/>
    <w:rsid w:val="001066B9"/>
    <w:rsid w:val="001067F0"/>
    <w:rsid w:val="001068F9"/>
    <w:rsid w:val="00107E8D"/>
    <w:rsid w:val="001100D4"/>
    <w:rsid w:val="0011346D"/>
    <w:rsid w:val="0011470B"/>
    <w:rsid w:val="00114B30"/>
    <w:rsid w:val="00116C3E"/>
    <w:rsid w:val="00117E59"/>
    <w:rsid w:val="00120261"/>
    <w:rsid w:val="0012201E"/>
    <w:rsid w:val="00123BCC"/>
    <w:rsid w:val="00123FD7"/>
    <w:rsid w:val="001249CC"/>
    <w:rsid w:val="0012530E"/>
    <w:rsid w:val="00126CDF"/>
    <w:rsid w:val="0013089B"/>
    <w:rsid w:val="00132F76"/>
    <w:rsid w:val="0013384F"/>
    <w:rsid w:val="00134FC3"/>
    <w:rsid w:val="001362D8"/>
    <w:rsid w:val="00136B7F"/>
    <w:rsid w:val="00137114"/>
    <w:rsid w:val="00141D5A"/>
    <w:rsid w:val="00144AB9"/>
    <w:rsid w:val="00154168"/>
    <w:rsid w:val="0015605C"/>
    <w:rsid w:val="00157AAE"/>
    <w:rsid w:val="00161BB6"/>
    <w:rsid w:val="00164599"/>
    <w:rsid w:val="001708B3"/>
    <w:rsid w:val="00173C4D"/>
    <w:rsid w:val="00174A49"/>
    <w:rsid w:val="00175388"/>
    <w:rsid w:val="001761C7"/>
    <w:rsid w:val="00177270"/>
    <w:rsid w:val="001772D6"/>
    <w:rsid w:val="00177A91"/>
    <w:rsid w:val="0018019A"/>
    <w:rsid w:val="00190298"/>
    <w:rsid w:val="00190E0B"/>
    <w:rsid w:val="00192E59"/>
    <w:rsid w:val="00193162"/>
    <w:rsid w:val="00194542"/>
    <w:rsid w:val="00195301"/>
    <w:rsid w:val="001953A5"/>
    <w:rsid w:val="00195CA2"/>
    <w:rsid w:val="00196146"/>
    <w:rsid w:val="00196B8A"/>
    <w:rsid w:val="001A0B12"/>
    <w:rsid w:val="001B00A0"/>
    <w:rsid w:val="001B23ED"/>
    <w:rsid w:val="001B34DE"/>
    <w:rsid w:val="001B6CB5"/>
    <w:rsid w:val="001B79DA"/>
    <w:rsid w:val="001B7BF3"/>
    <w:rsid w:val="001C1506"/>
    <w:rsid w:val="001C3137"/>
    <w:rsid w:val="001C540A"/>
    <w:rsid w:val="001C5CA5"/>
    <w:rsid w:val="001C663B"/>
    <w:rsid w:val="001D36DC"/>
    <w:rsid w:val="001D4D59"/>
    <w:rsid w:val="001D5B13"/>
    <w:rsid w:val="001D6B3E"/>
    <w:rsid w:val="001D713C"/>
    <w:rsid w:val="001E2D97"/>
    <w:rsid w:val="001E30E8"/>
    <w:rsid w:val="001E3237"/>
    <w:rsid w:val="001E4C59"/>
    <w:rsid w:val="001E531C"/>
    <w:rsid w:val="001F1DBD"/>
    <w:rsid w:val="001F3097"/>
    <w:rsid w:val="0020034E"/>
    <w:rsid w:val="00201C06"/>
    <w:rsid w:val="00204A86"/>
    <w:rsid w:val="00207117"/>
    <w:rsid w:val="002101A4"/>
    <w:rsid w:val="002109F9"/>
    <w:rsid w:val="002137D2"/>
    <w:rsid w:val="00214440"/>
    <w:rsid w:val="00215132"/>
    <w:rsid w:val="002154A2"/>
    <w:rsid w:val="002156C8"/>
    <w:rsid w:val="00221A8F"/>
    <w:rsid w:val="00221D5A"/>
    <w:rsid w:val="0022431B"/>
    <w:rsid w:val="002254A0"/>
    <w:rsid w:val="002256CA"/>
    <w:rsid w:val="002274F9"/>
    <w:rsid w:val="002312D1"/>
    <w:rsid w:val="00232B56"/>
    <w:rsid w:val="002418DA"/>
    <w:rsid w:val="00241BAC"/>
    <w:rsid w:val="002421E2"/>
    <w:rsid w:val="002421F2"/>
    <w:rsid w:val="00251DDE"/>
    <w:rsid w:val="00252173"/>
    <w:rsid w:val="0025237B"/>
    <w:rsid w:val="00252CBB"/>
    <w:rsid w:val="002579B2"/>
    <w:rsid w:val="00257BAC"/>
    <w:rsid w:val="00260CC9"/>
    <w:rsid w:val="00263A58"/>
    <w:rsid w:val="00264B8F"/>
    <w:rsid w:val="00264BB2"/>
    <w:rsid w:val="002654EA"/>
    <w:rsid w:val="00267364"/>
    <w:rsid w:val="0026739B"/>
    <w:rsid w:val="00273A31"/>
    <w:rsid w:val="00274483"/>
    <w:rsid w:val="00274DF1"/>
    <w:rsid w:val="00274FEA"/>
    <w:rsid w:val="002766F9"/>
    <w:rsid w:val="00276A8D"/>
    <w:rsid w:val="00276E3E"/>
    <w:rsid w:val="00277240"/>
    <w:rsid w:val="00277610"/>
    <w:rsid w:val="00277A23"/>
    <w:rsid w:val="00280800"/>
    <w:rsid w:val="00280E4B"/>
    <w:rsid w:val="00285138"/>
    <w:rsid w:val="002852DB"/>
    <w:rsid w:val="00285F27"/>
    <w:rsid w:val="00287FBB"/>
    <w:rsid w:val="0029026E"/>
    <w:rsid w:val="0029371B"/>
    <w:rsid w:val="00293EB0"/>
    <w:rsid w:val="00295D01"/>
    <w:rsid w:val="002A2607"/>
    <w:rsid w:val="002A47DB"/>
    <w:rsid w:val="002A544A"/>
    <w:rsid w:val="002A5A18"/>
    <w:rsid w:val="002A5D8F"/>
    <w:rsid w:val="002A61EE"/>
    <w:rsid w:val="002A658F"/>
    <w:rsid w:val="002B3E6E"/>
    <w:rsid w:val="002B4524"/>
    <w:rsid w:val="002B624C"/>
    <w:rsid w:val="002C33B2"/>
    <w:rsid w:val="002C34C0"/>
    <w:rsid w:val="002C54A6"/>
    <w:rsid w:val="002C7F7C"/>
    <w:rsid w:val="002D15AB"/>
    <w:rsid w:val="002D19CD"/>
    <w:rsid w:val="002D688F"/>
    <w:rsid w:val="002E00BA"/>
    <w:rsid w:val="002E0C1E"/>
    <w:rsid w:val="002E37EE"/>
    <w:rsid w:val="002E3B33"/>
    <w:rsid w:val="002E3BB0"/>
    <w:rsid w:val="002E6619"/>
    <w:rsid w:val="002E70CE"/>
    <w:rsid w:val="002E7AB1"/>
    <w:rsid w:val="002E7DC9"/>
    <w:rsid w:val="002F0071"/>
    <w:rsid w:val="002F034B"/>
    <w:rsid w:val="002F06CC"/>
    <w:rsid w:val="002F4767"/>
    <w:rsid w:val="002F5550"/>
    <w:rsid w:val="002F7A19"/>
    <w:rsid w:val="003036A2"/>
    <w:rsid w:val="003053C7"/>
    <w:rsid w:val="003059EB"/>
    <w:rsid w:val="00306A4B"/>
    <w:rsid w:val="00306FE0"/>
    <w:rsid w:val="00307B3C"/>
    <w:rsid w:val="00310421"/>
    <w:rsid w:val="003133C1"/>
    <w:rsid w:val="003139EB"/>
    <w:rsid w:val="00313CAE"/>
    <w:rsid w:val="00315F48"/>
    <w:rsid w:val="0031605A"/>
    <w:rsid w:val="00322BA1"/>
    <w:rsid w:val="0032796C"/>
    <w:rsid w:val="00331731"/>
    <w:rsid w:val="00333EED"/>
    <w:rsid w:val="0033551F"/>
    <w:rsid w:val="0034005B"/>
    <w:rsid w:val="00340806"/>
    <w:rsid w:val="00341FFE"/>
    <w:rsid w:val="003425BE"/>
    <w:rsid w:val="003450A8"/>
    <w:rsid w:val="003461B2"/>
    <w:rsid w:val="00350925"/>
    <w:rsid w:val="00355B43"/>
    <w:rsid w:val="00357251"/>
    <w:rsid w:val="00357F24"/>
    <w:rsid w:val="00361EE2"/>
    <w:rsid w:val="003622ED"/>
    <w:rsid w:val="0036319D"/>
    <w:rsid w:val="00370473"/>
    <w:rsid w:val="00371B0E"/>
    <w:rsid w:val="00371CF9"/>
    <w:rsid w:val="0037602E"/>
    <w:rsid w:val="00377944"/>
    <w:rsid w:val="00380581"/>
    <w:rsid w:val="00383ADF"/>
    <w:rsid w:val="00387C03"/>
    <w:rsid w:val="00390015"/>
    <w:rsid w:val="0039270B"/>
    <w:rsid w:val="00395EF5"/>
    <w:rsid w:val="0039729E"/>
    <w:rsid w:val="003A2FF2"/>
    <w:rsid w:val="003A3052"/>
    <w:rsid w:val="003A3919"/>
    <w:rsid w:val="003A476E"/>
    <w:rsid w:val="003A4AF4"/>
    <w:rsid w:val="003A710E"/>
    <w:rsid w:val="003B088B"/>
    <w:rsid w:val="003B1238"/>
    <w:rsid w:val="003B3948"/>
    <w:rsid w:val="003B4380"/>
    <w:rsid w:val="003B58A6"/>
    <w:rsid w:val="003C40B6"/>
    <w:rsid w:val="003D62C9"/>
    <w:rsid w:val="003D641F"/>
    <w:rsid w:val="003D6565"/>
    <w:rsid w:val="003D73FE"/>
    <w:rsid w:val="003D7743"/>
    <w:rsid w:val="003D778D"/>
    <w:rsid w:val="003E27E2"/>
    <w:rsid w:val="003E3972"/>
    <w:rsid w:val="003F061A"/>
    <w:rsid w:val="003F1806"/>
    <w:rsid w:val="003F1FBD"/>
    <w:rsid w:val="003F61D6"/>
    <w:rsid w:val="003F6EAD"/>
    <w:rsid w:val="0040108B"/>
    <w:rsid w:val="00403CDD"/>
    <w:rsid w:val="004070AA"/>
    <w:rsid w:val="00410CB7"/>
    <w:rsid w:val="00410FD7"/>
    <w:rsid w:val="00411649"/>
    <w:rsid w:val="00412553"/>
    <w:rsid w:val="004134DD"/>
    <w:rsid w:val="0041517D"/>
    <w:rsid w:val="00416DF7"/>
    <w:rsid w:val="0041731D"/>
    <w:rsid w:val="004201B1"/>
    <w:rsid w:val="00420CC0"/>
    <w:rsid w:val="00424719"/>
    <w:rsid w:val="00425B20"/>
    <w:rsid w:val="00426E97"/>
    <w:rsid w:val="00433AC6"/>
    <w:rsid w:val="004362E3"/>
    <w:rsid w:val="00437163"/>
    <w:rsid w:val="00437972"/>
    <w:rsid w:val="00440CFE"/>
    <w:rsid w:val="00441D99"/>
    <w:rsid w:val="00442E12"/>
    <w:rsid w:val="00444967"/>
    <w:rsid w:val="00444D4A"/>
    <w:rsid w:val="004459B1"/>
    <w:rsid w:val="004509AD"/>
    <w:rsid w:val="00450B7D"/>
    <w:rsid w:val="00450C41"/>
    <w:rsid w:val="00455807"/>
    <w:rsid w:val="00456E54"/>
    <w:rsid w:val="00457440"/>
    <w:rsid w:val="0046209B"/>
    <w:rsid w:val="00462182"/>
    <w:rsid w:val="00463ED6"/>
    <w:rsid w:val="00466556"/>
    <w:rsid w:val="004666B7"/>
    <w:rsid w:val="00467438"/>
    <w:rsid w:val="00467D0B"/>
    <w:rsid w:val="004712A8"/>
    <w:rsid w:val="00471DED"/>
    <w:rsid w:val="004734D8"/>
    <w:rsid w:val="00475BB5"/>
    <w:rsid w:val="00475EB7"/>
    <w:rsid w:val="004766E5"/>
    <w:rsid w:val="00477371"/>
    <w:rsid w:val="004826CF"/>
    <w:rsid w:val="00483F64"/>
    <w:rsid w:val="004866A9"/>
    <w:rsid w:val="0048768F"/>
    <w:rsid w:val="00487D3D"/>
    <w:rsid w:val="00491612"/>
    <w:rsid w:val="00491B05"/>
    <w:rsid w:val="00492547"/>
    <w:rsid w:val="00494587"/>
    <w:rsid w:val="00494743"/>
    <w:rsid w:val="00497E20"/>
    <w:rsid w:val="004A067D"/>
    <w:rsid w:val="004A11CF"/>
    <w:rsid w:val="004A1983"/>
    <w:rsid w:val="004A5164"/>
    <w:rsid w:val="004A7FA7"/>
    <w:rsid w:val="004B08F3"/>
    <w:rsid w:val="004B1330"/>
    <w:rsid w:val="004B2DAA"/>
    <w:rsid w:val="004B5AC9"/>
    <w:rsid w:val="004B6ACB"/>
    <w:rsid w:val="004C08B6"/>
    <w:rsid w:val="004C0B37"/>
    <w:rsid w:val="004C0D00"/>
    <w:rsid w:val="004C112C"/>
    <w:rsid w:val="004C14AB"/>
    <w:rsid w:val="004C1FBD"/>
    <w:rsid w:val="004C3462"/>
    <w:rsid w:val="004C34AA"/>
    <w:rsid w:val="004C5772"/>
    <w:rsid w:val="004C75F0"/>
    <w:rsid w:val="004D0A90"/>
    <w:rsid w:val="004D139E"/>
    <w:rsid w:val="004D1B0B"/>
    <w:rsid w:val="004D1CE2"/>
    <w:rsid w:val="004D44AC"/>
    <w:rsid w:val="004D5ED7"/>
    <w:rsid w:val="004E1262"/>
    <w:rsid w:val="004E3049"/>
    <w:rsid w:val="004E3E89"/>
    <w:rsid w:val="004E411B"/>
    <w:rsid w:val="004E430D"/>
    <w:rsid w:val="004E5C69"/>
    <w:rsid w:val="004E60D0"/>
    <w:rsid w:val="004F12A6"/>
    <w:rsid w:val="004F1565"/>
    <w:rsid w:val="004F1878"/>
    <w:rsid w:val="004F2304"/>
    <w:rsid w:val="004F26F8"/>
    <w:rsid w:val="004F3043"/>
    <w:rsid w:val="004F4CA5"/>
    <w:rsid w:val="004F4CC9"/>
    <w:rsid w:val="004F75D8"/>
    <w:rsid w:val="005025FE"/>
    <w:rsid w:val="00504585"/>
    <w:rsid w:val="005045B9"/>
    <w:rsid w:val="00506DDE"/>
    <w:rsid w:val="005136AD"/>
    <w:rsid w:val="005138BA"/>
    <w:rsid w:val="00513923"/>
    <w:rsid w:val="005142AC"/>
    <w:rsid w:val="00516657"/>
    <w:rsid w:val="005200B6"/>
    <w:rsid w:val="00520CB5"/>
    <w:rsid w:val="005211AF"/>
    <w:rsid w:val="005213E2"/>
    <w:rsid w:val="005276C2"/>
    <w:rsid w:val="00531278"/>
    <w:rsid w:val="005406F8"/>
    <w:rsid w:val="0054169B"/>
    <w:rsid w:val="005417D2"/>
    <w:rsid w:val="00541C18"/>
    <w:rsid w:val="005422E4"/>
    <w:rsid w:val="00543721"/>
    <w:rsid w:val="00544161"/>
    <w:rsid w:val="0054436C"/>
    <w:rsid w:val="00545CF8"/>
    <w:rsid w:val="00547D7E"/>
    <w:rsid w:val="00550E4D"/>
    <w:rsid w:val="00550F69"/>
    <w:rsid w:val="005523C6"/>
    <w:rsid w:val="005535C1"/>
    <w:rsid w:val="00554D86"/>
    <w:rsid w:val="005559D8"/>
    <w:rsid w:val="005616AE"/>
    <w:rsid w:val="00562147"/>
    <w:rsid w:val="00571AAC"/>
    <w:rsid w:val="00571ADF"/>
    <w:rsid w:val="00571CB3"/>
    <w:rsid w:val="00571CEA"/>
    <w:rsid w:val="00571F91"/>
    <w:rsid w:val="0057747E"/>
    <w:rsid w:val="00577FE4"/>
    <w:rsid w:val="00581C8A"/>
    <w:rsid w:val="005834B0"/>
    <w:rsid w:val="005871BD"/>
    <w:rsid w:val="005900A1"/>
    <w:rsid w:val="00590B01"/>
    <w:rsid w:val="00593AC5"/>
    <w:rsid w:val="00595152"/>
    <w:rsid w:val="00596909"/>
    <w:rsid w:val="005A0224"/>
    <w:rsid w:val="005A0BA6"/>
    <w:rsid w:val="005A1201"/>
    <w:rsid w:val="005A35B2"/>
    <w:rsid w:val="005A362B"/>
    <w:rsid w:val="005A3671"/>
    <w:rsid w:val="005A3F38"/>
    <w:rsid w:val="005A68C6"/>
    <w:rsid w:val="005A6C20"/>
    <w:rsid w:val="005A6F02"/>
    <w:rsid w:val="005B170A"/>
    <w:rsid w:val="005B2B2E"/>
    <w:rsid w:val="005B753C"/>
    <w:rsid w:val="005C1B4B"/>
    <w:rsid w:val="005C2541"/>
    <w:rsid w:val="005C71E9"/>
    <w:rsid w:val="005D40D8"/>
    <w:rsid w:val="005D4C3F"/>
    <w:rsid w:val="005D5D01"/>
    <w:rsid w:val="005D7700"/>
    <w:rsid w:val="005D7E43"/>
    <w:rsid w:val="005E2DAC"/>
    <w:rsid w:val="005F0DA6"/>
    <w:rsid w:val="005F32AD"/>
    <w:rsid w:val="005F41CD"/>
    <w:rsid w:val="005F573F"/>
    <w:rsid w:val="005F7C32"/>
    <w:rsid w:val="00600494"/>
    <w:rsid w:val="00600E99"/>
    <w:rsid w:val="00601BED"/>
    <w:rsid w:val="006065A9"/>
    <w:rsid w:val="006075B1"/>
    <w:rsid w:val="00607651"/>
    <w:rsid w:val="006101EB"/>
    <w:rsid w:val="006103AF"/>
    <w:rsid w:val="00610C1D"/>
    <w:rsid w:val="006131D3"/>
    <w:rsid w:val="00620AB1"/>
    <w:rsid w:val="00620C5C"/>
    <w:rsid w:val="00622516"/>
    <w:rsid w:val="00624DAF"/>
    <w:rsid w:val="006251B7"/>
    <w:rsid w:val="00625BAE"/>
    <w:rsid w:val="00627195"/>
    <w:rsid w:val="00630150"/>
    <w:rsid w:val="00630E7C"/>
    <w:rsid w:val="00633111"/>
    <w:rsid w:val="0064042D"/>
    <w:rsid w:val="00641AEC"/>
    <w:rsid w:val="00641C0D"/>
    <w:rsid w:val="0064524B"/>
    <w:rsid w:val="006469A4"/>
    <w:rsid w:val="00646C9B"/>
    <w:rsid w:val="00650931"/>
    <w:rsid w:val="00650A8F"/>
    <w:rsid w:val="00651877"/>
    <w:rsid w:val="0065416D"/>
    <w:rsid w:val="0065564F"/>
    <w:rsid w:val="00655D42"/>
    <w:rsid w:val="00656199"/>
    <w:rsid w:val="00663276"/>
    <w:rsid w:val="00664D3A"/>
    <w:rsid w:val="00666B3B"/>
    <w:rsid w:val="00666B96"/>
    <w:rsid w:val="00675060"/>
    <w:rsid w:val="006759C2"/>
    <w:rsid w:val="00675D0A"/>
    <w:rsid w:val="0067631B"/>
    <w:rsid w:val="00677A9F"/>
    <w:rsid w:val="00681B83"/>
    <w:rsid w:val="00681CA4"/>
    <w:rsid w:val="00682027"/>
    <w:rsid w:val="006839AA"/>
    <w:rsid w:val="00685A22"/>
    <w:rsid w:val="00685B63"/>
    <w:rsid w:val="00690252"/>
    <w:rsid w:val="006945BD"/>
    <w:rsid w:val="00694E1A"/>
    <w:rsid w:val="00695A1E"/>
    <w:rsid w:val="006A25BB"/>
    <w:rsid w:val="006A35E0"/>
    <w:rsid w:val="006A428D"/>
    <w:rsid w:val="006A4E81"/>
    <w:rsid w:val="006A5D0B"/>
    <w:rsid w:val="006B10B6"/>
    <w:rsid w:val="006B1377"/>
    <w:rsid w:val="006B2726"/>
    <w:rsid w:val="006B56FD"/>
    <w:rsid w:val="006B57B2"/>
    <w:rsid w:val="006C0EDC"/>
    <w:rsid w:val="006C109B"/>
    <w:rsid w:val="006C180F"/>
    <w:rsid w:val="006C2A23"/>
    <w:rsid w:val="006C4214"/>
    <w:rsid w:val="006C63D3"/>
    <w:rsid w:val="006C6721"/>
    <w:rsid w:val="006C7773"/>
    <w:rsid w:val="006D1B2D"/>
    <w:rsid w:val="006D1CD8"/>
    <w:rsid w:val="006D1E80"/>
    <w:rsid w:val="006D555F"/>
    <w:rsid w:val="006D7041"/>
    <w:rsid w:val="006D7AE0"/>
    <w:rsid w:val="006D7E28"/>
    <w:rsid w:val="006E17CD"/>
    <w:rsid w:val="006E23B6"/>
    <w:rsid w:val="006E25AB"/>
    <w:rsid w:val="006E3262"/>
    <w:rsid w:val="006E3A6D"/>
    <w:rsid w:val="006E4748"/>
    <w:rsid w:val="006E75A7"/>
    <w:rsid w:val="006E7746"/>
    <w:rsid w:val="006E78B2"/>
    <w:rsid w:val="006E7F70"/>
    <w:rsid w:val="006F1565"/>
    <w:rsid w:val="006F4826"/>
    <w:rsid w:val="006F4D0E"/>
    <w:rsid w:val="006F738D"/>
    <w:rsid w:val="00700738"/>
    <w:rsid w:val="00707967"/>
    <w:rsid w:val="00707997"/>
    <w:rsid w:val="0071029B"/>
    <w:rsid w:val="0071052E"/>
    <w:rsid w:val="00711762"/>
    <w:rsid w:val="00715306"/>
    <w:rsid w:val="00715BDB"/>
    <w:rsid w:val="00716588"/>
    <w:rsid w:val="00721552"/>
    <w:rsid w:val="007224FC"/>
    <w:rsid w:val="00726E5E"/>
    <w:rsid w:val="007327F4"/>
    <w:rsid w:val="0073523A"/>
    <w:rsid w:val="007367A7"/>
    <w:rsid w:val="00736C13"/>
    <w:rsid w:val="00736E1E"/>
    <w:rsid w:val="00736F0E"/>
    <w:rsid w:val="00740359"/>
    <w:rsid w:val="007445DB"/>
    <w:rsid w:val="0074569B"/>
    <w:rsid w:val="00747E63"/>
    <w:rsid w:val="007510E2"/>
    <w:rsid w:val="007513AA"/>
    <w:rsid w:val="00752314"/>
    <w:rsid w:val="00752473"/>
    <w:rsid w:val="00752903"/>
    <w:rsid w:val="00757D44"/>
    <w:rsid w:val="00766BBE"/>
    <w:rsid w:val="00767521"/>
    <w:rsid w:val="007732C9"/>
    <w:rsid w:val="007738F3"/>
    <w:rsid w:val="00774CB6"/>
    <w:rsid w:val="00775DAE"/>
    <w:rsid w:val="00776A3D"/>
    <w:rsid w:val="007812A2"/>
    <w:rsid w:val="00782488"/>
    <w:rsid w:val="00785E49"/>
    <w:rsid w:val="00786A8D"/>
    <w:rsid w:val="00786B17"/>
    <w:rsid w:val="00787338"/>
    <w:rsid w:val="00787C90"/>
    <w:rsid w:val="007904A3"/>
    <w:rsid w:val="00790A1F"/>
    <w:rsid w:val="00793B7A"/>
    <w:rsid w:val="00793C15"/>
    <w:rsid w:val="00793DA2"/>
    <w:rsid w:val="007A01EB"/>
    <w:rsid w:val="007A0D5E"/>
    <w:rsid w:val="007B13AE"/>
    <w:rsid w:val="007B1426"/>
    <w:rsid w:val="007B2475"/>
    <w:rsid w:val="007B249F"/>
    <w:rsid w:val="007B2ECC"/>
    <w:rsid w:val="007C1DF4"/>
    <w:rsid w:val="007C5394"/>
    <w:rsid w:val="007C6850"/>
    <w:rsid w:val="007C6BB9"/>
    <w:rsid w:val="007D1B60"/>
    <w:rsid w:val="007D2E6D"/>
    <w:rsid w:val="007D5501"/>
    <w:rsid w:val="007D7F23"/>
    <w:rsid w:val="007E073D"/>
    <w:rsid w:val="007E260F"/>
    <w:rsid w:val="007E35CB"/>
    <w:rsid w:val="007E4B05"/>
    <w:rsid w:val="007E6340"/>
    <w:rsid w:val="007F16A8"/>
    <w:rsid w:val="007F2467"/>
    <w:rsid w:val="007F4CA1"/>
    <w:rsid w:val="007F6149"/>
    <w:rsid w:val="007F618C"/>
    <w:rsid w:val="007F688D"/>
    <w:rsid w:val="007F6E16"/>
    <w:rsid w:val="00802325"/>
    <w:rsid w:val="00803091"/>
    <w:rsid w:val="00806F44"/>
    <w:rsid w:val="00807835"/>
    <w:rsid w:val="00807954"/>
    <w:rsid w:val="00812E7D"/>
    <w:rsid w:val="00815DBC"/>
    <w:rsid w:val="00816F1C"/>
    <w:rsid w:val="008175AA"/>
    <w:rsid w:val="008223E7"/>
    <w:rsid w:val="00825898"/>
    <w:rsid w:val="00826D20"/>
    <w:rsid w:val="00827B6A"/>
    <w:rsid w:val="0083491E"/>
    <w:rsid w:val="0083499D"/>
    <w:rsid w:val="00840460"/>
    <w:rsid w:val="008408C1"/>
    <w:rsid w:val="00840B15"/>
    <w:rsid w:val="00843968"/>
    <w:rsid w:val="00843A62"/>
    <w:rsid w:val="008445F2"/>
    <w:rsid w:val="0084763A"/>
    <w:rsid w:val="008503AA"/>
    <w:rsid w:val="0085234E"/>
    <w:rsid w:val="00854C15"/>
    <w:rsid w:val="00854E3D"/>
    <w:rsid w:val="008601C5"/>
    <w:rsid w:val="00860EC1"/>
    <w:rsid w:val="00863F9A"/>
    <w:rsid w:val="00864126"/>
    <w:rsid w:val="00865F66"/>
    <w:rsid w:val="00867518"/>
    <w:rsid w:val="008704E4"/>
    <w:rsid w:val="0087372F"/>
    <w:rsid w:val="00876062"/>
    <w:rsid w:val="00880650"/>
    <w:rsid w:val="00880DE8"/>
    <w:rsid w:val="00884762"/>
    <w:rsid w:val="00886EA8"/>
    <w:rsid w:val="00887AD9"/>
    <w:rsid w:val="00890BD7"/>
    <w:rsid w:val="00891A6E"/>
    <w:rsid w:val="008941B7"/>
    <w:rsid w:val="008951FB"/>
    <w:rsid w:val="008968EB"/>
    <w:rsid w:val="00897689"/>
    <w:rsid w:val="00897FEE"/>
    <w:rsid w:val="008A3A56"/>
    <w:rsid w:val="008A405E"/>
    <w:rsid w:val="008A4DB0"/>
    <w:rsid w:val="008A4DD1"/>
    <w:rsid w:val="008A5186"/>
    <w:rsid w:val="008A51A2"/>
    <w:rsid w:val="008A51C6"/>
    <w:rsid w:val="008A51D2"/>
    <w:rsid w:val="008B18D7"/>
    <w:rsid w:val="008B7AF1"/>
    <w:rsid w:val="008C17B5"/>
    <w:rsid w:val="008D5E56"/>
    <w:rsid w:val="008D7FA3"/>
    <w:rsid w:val="008E36EC"/>
    <w:rsid w:val="008E3A6A"/>
    <w:rsid w:val="008E40B5"/>
    <w:rsid w:val="008E5CE3"/>
    <w:rsid w:val="008F1194"/>
    <w:rsid w:val="008F273A"/>
    <w:rsid w:val="008F5FA6"/>
    <w:rsid w:val="008F7A9C"/>
    <w:rsid w:val="00900503"/>
    <w:rsid w:val="00902515"/>
    <w:rsid w:val="0090295E"/>
    <w:rsid w:val="0090392E"/>
    <w:rsid w:val="00904CEC"/>
    <w:rsid w:val="0091075D"/>
    <w:rsid w:val="00910C60"/>
    <w:rsid w:val="0091299A"/>
    <w:rsid w:val="00914764"/>
    <w:rsid w:val="0091539C"/>
    <w:rsid w:val="00916F8C"/>
    <w:rsid w:val="0091741B"/>
    <w:rsid w:val="00917822"/>
    <w:rsid w:val="009238C0"/>
    <w:rsid w:val="00924D99"/>
    <w:rsid w:val="00925EE3"/>
    <w:rsid w:val="0092796F"/>
    <w:rsid w:val="009302D6"/>
    <w:rsid w:val="009317F7"/>
    <w:rsid w:val="009328FC"/>
    <w:rsid w:val="00933D7D"/>
    <w:rsid w:val="009360C5"/>
    <w:rsid w:val="00941365"/>
    <w:rsid w:val="00944443"/>
    <w:rsid w:val="009501FB"/>
    <w:rsid w:val="00957152"/>
    <w:rsid w:val="0096064B"/>
    <w:rsid w:val="00960884"/>
    <w:rsid w:val="009618B3"/>
    <w:rsid w:val="00963568"/>
    <w:rsid w:val="009704B0"/>
    <w:rsid w:val="00972036"/>
    <w:rsid w:val="00976BE7"/>
    <w:rsid w:val="00980311"/>
    <w:rsid w:val="00983F19"/>
    <w:rsid w:val="009867C5"/>
    <w:rsid w:val="00987853"/>
    <w:rsid w:val="009920D4"/>
    <w:rsid w:val="0099432F"/>
    <w:rsid w:val="009952EB"/>
    <w:rsid w:val="00995D43"/>
    <w:rsid w:val="009964E7"/>
    <w:rsid w:val="009A180F"/>
    <w:rsid w:val="009A20E5"/>
    <w:rsid w:val="009A3FD5"/>
    <w:rsid w:val="009A623A"/>
    <w:rsid w:val="009B3319"/>
    <w:rsid w:val="009B4B17"/>
    <w:rsid w:val="009B4CD0"/>
    <w:rsid w:val="009B532B"/>
    <w:rsid w:val="009B6B20"/>
    <w:rsid w:val="009B7560"/>
    <w:rsid w:val="009B77E9"/>
    <w:rsid w:val="009C3E19"/>
    <w:rsid w:val="009C4684"/>
    <w:rsid w:val="009C532F"/>
    <w:rsid w:val="009C5DC9"/>
    <w:rsid w:val="009D65A3"/>
    <w:rsid w:val="009D7E49"/>
    <w:rsid w:val="009E0CAB"/>
    <w:rsid w:val="009E3E67"/>
    <w:rsid w:val="009E51CE"/>
    <w:rsid w:val="009E5D82"/>
    <w:rsid w:val="009E734D"/>
    <w:rsid w:val="009F0667"/>
    <w:rsid w:val="009F0EAA"/>
    <w:rsid w:val="009F32A5"/>
    <w:rsid w:val="009F38A2"/>
    <w:rsid w:val="009F42AB"/>
    <w:rsid w:val="009F5A9B"/>
    <w:rsid w:val="009F78CB"/>
    <w:rsid w:val="009F79DC"/>
    <w:rsid w:val="00A00A06"/>
    <w:rsid w:val="00A0309C"/>
    <w:rsid w:val="00A0599B"/>
    <w:rsid w:val="00A14107"/>
    <w:rsid w:val="00A14BB0"/>
    <w:rsid w:val="00A16C71"/>
    <w:rsid w:val="00A175AE"/>
    <w:rsid w:val="00A2067C"/>
    <w:rsid w:val="00A20DBC"/>
    <w:rsid w:val="00A2419B"/>
    <w:rsid w:val="00A25584"/>
    <w:rsid w:val="00A32EDC"/>
    <w:rsid w:val="00A334A2"/>
    <w:rsid w:val="00A355F6"/>
    <w:rsid w:val="00A35817"/>
    <w:rsid w:val="00A36C54"/>
    <w:rsid w:val="00A40CC4"/>
    <w:rsid w:val="00A410CD"/>
    <w:rsid w:val="00A41431"/>
    <w:rsid w:val="00A41569"/>
    <w:rsid w:val="00A4301D"/>
    <w:rsid w:val="00A45BAD"/>
    <w:rsid w:val="00A502B4"/>
    <w:rsid w:val="00A51997"/>
    <w:rsid w:val="00A52C01"/>
    <w:rsid w:val="00A53DB2"/>
    <w:rsid w:val="00A55391"/>
    <w:rsid w:val="00A63318"/>
    <w:rsid w:val="00A70DD1"/>
    <w:rsid w:val="00A716CA"/>
    <w:rsid w:val="00A7397B"/>
    <w:rsid w:val="00A81299"/>
    <w:rsid w:val="00A82227"/>
    <w:rsid w:val="00A847E1"/>
    <w:rsid w:val="00A85C20"/>
    <w:rsid w:val="00A86058"/>
    <w:rsid w:val="00A86579"/>
    <w:rsid w:val="00A86985"/>
    <w:rsid w:val="00A86E13"/>
    <w:rsid w:val="00A90BD5"/>
    <w:rsid w:val="00A943B2"/>
    <w:rsid w:val="00A9602E"/>
    <w:rsid w:val="00A970D8"/>
    <w:rsid w:val="00A9715E"/>
    <w:rsid w:val="00A973D6"/>
    <w:rsid w:val="00A979D9"/>
    <w:rsid w:val="00AA0222"/>
    <w:rsid w:val="00AA10BE"/>
    <w:rsid w:val="00AA1FA8"/>
    <w:rsid w:val="00AA35E9"/>
    <w:rsid w:val="00AA4730"/>
    <w:rsid w:val="00AA4BB0"/>
    <w:rsid w:val="00AA4BB1"/>
    <w:rsid w:val="00AA4BB9"/>
    <w:rsid w:val="00AB07A4"/>
    <w:rsid w:val="00AB181B"/>
    <w:rsid w:val="00AB2E64"/>
    <w:rsid w:val="00AB4D75"/>
    <w:rsid w:val="00AB5790"/>
    <w:rsid w:val="00AC3351"/>
    <w:rsid w:val="00AC3E58"/>
    <w:rsid w:val="00AC41BE"/>
    <w:rsid w:val="00AC6720"/>
    <w:rsid w:val="00AC7ECD"/>
    <w:rsid w:val="00AD0766"/>
    <w:rsid w:val="00AD083F"/>
    <w:rsid w:val="00AD2170"/>
    <w:rsid w:val="00AD275A"/>
    <w:rsid w:val="00AD3D6D"/>
    <w:rsid w:val="00AD7F00"/>
    <w:rsid w:val="00AE0559"/>
    <w:rsid w:val="00AE22BA"/>
    <w:rsid w:val="00AE268A"/>
    <w:rsid w:val="00AE3640"/>
    <w:rsid w:val="00AE3B5F"/>
    <w:rsid w:val="00AE3CFD"/>
    <w:rsid w:val="00AE55D2"/>
    <w:rsid w:val="00AE7106"/>
    <w:rsid w:val="00AE7BBB"/>
    <w:rsid w:val="00AF06CB"/>
    <w:rsid w:val="00AF1082"/>
    <w:rsid w:val="00AF1B84"/>
    <w:rsid w:val="00AF37BE"/>
    <w:rsid w:val="00AF37E7"/>
    <w:rsid w:val="00AF4D16"/>
    <w:rsid w:val="00AF5B4A"/>
    <w:rsid w:val="00AF6215"/>
    <w:rsid w:val="00B03428"/>
    <w:rsid w:val="00B035CC"/>
    <w:rsid w:val="00B047D6"/>
    <w:rsid w:val="00B04C21"/>
    <w:rsid w:val="00B05DAA"/>
    <w:rsid w:val="00B06606"/>
    <w:rsid w:val="00B068D9"/>
    <w:rsid w:val="00B06E83"/>
    <w:rsid w:val="00B103CA"/>
    <w:rsid w:val="00B10A1A"/>
    <w:rsid w:val="00B14087"/>
    <w:rsid w:val="00B222AD"/>
    <w:rsid w:val="00B23CE0"/>
    <w:rsid w:val="00B268F6"/>
    <w:rsid w:val="00B306B3"/>
    <w:rsid w:val="00B335D7"/>
    <w:rsid w:val="00B34418"/>
    <w:rsid w:val="00B3452A"/>
    <w:rsid w:val="00B34F64"/>
    <w:rsid w:val="00B416DD"/>
    <w:rsid w:val="00B42530"/>
    <w:rsid w:val="00B4269E"/>
    <w:rsid w:val="00B45E08"/>
    <w:rsid w:val="00B45FAF"/>
    <w:rsid w:val="00B51E8B"/>
    <w:rsid w:val="00B53061"/>
    <w:rsid w:val="00B5338E"/>
    <w:rsid w:val="00B54281"/>
    <w:rsid w:val="00B5561F"/>
    <w:rsid w:val="00B55F0E"/>
    <w:rsid w:val="00B629B8"/>
    <w:rsid w:val="00B65F9E"/>
    <w:rsid w:val="00B80087"/>
    <w:rsid w:val="00B816CE"/>
    <w:rsid w:val="00B827FF"/>
    <w:rsid w:val="00B8445D"/>
    <w:rsid w:val="00B846E1"/>
    <w:rsid w:val="00B9010E"/>
    <w:rsid w:val="00B9061C"/>
    <w:rsid w:val="00B90A67"/>
    <w:rsid w:val="00B93351"/>
    <w:rsid w:val="00B93FAF"/>
    <w:rsid w:val="00B96AC7"/>
    <w:rsid w:val="00B96DBD"/>
    <w:rsid w:val="00B9744A"/>
    <w:rsid w:val="00BA0D89"/>
    <w:rsid w:val="00BA44B1"/>
    <w:rsid w:val="00BA6C89"/>
    <w:rsid w:val="00BB049D"/>
    <w:rsid w:val="00BB4F76"/>
    <w:rsid w:val="00BB5B3A"/>
    <w:rsid w:val="00BB651B"/>
    <w:rsid w:val="00BC2074"/>
    <w:rsid w:val="00BC46FA"/>
    <w:rsid w:val="00BC622C"/>
    <w:rsid w:val="00BC7D2F"/>
    <w:rsid w:val="00BD0813"/>
    <w:rsid w:val="00BD241F"/>
    <w:rsid w:val="00BD403D"/>
    <w:rsid w:val="00BD7002"/>
    <w:rsid w:val="00BD76A5"/>
    <w:rsid w:val="00BE3C7B"/>
    <w:rsid w:val="00BF1578"/>
    <w:rsid w:val="00BF2E42"/>
    <w:rsid w:val="00BF6613"/>
    <w:rsid w:val="00BF7AEB"/>
    <w:rsid w:val="00C028CE"/>
    <w:rsid w:val="00C0427F"/>
    <w:rsid w:val="00C102B5"/>
    <w:rsid w:val="00C102CE"/>
    <w:rsid w:val="00C110A8"/>
    <w:rsid w:val="00C14296"/>
    <w:rsid w:val="00C23138"/>
    <w:rsid w:val="00C233D6"/>
    <w:rsid w:val="00C235CA"/>
    <w:rsid w:val="00C25736"/>
    <w:rsid w:val="00C25CB9"/>
    <w:rsid w:val="00C27135"/>
    <w:rsid w:val="00C27641"/>
    <w:rsid w:val="00C3068A"/>
    <w:rsid w:val="00C32105"/>
    <w:rsid w:val="00C32C22"/>
    <w:rsid w:val="00C32E7A"/>
    <w:rsid w:val="00C34D40"/>
    <w:rsid w:val="00C3580E"/>
    <w:rsid w:val="00C422BC"/>
    <w:rsid w:val="00C42B47"/>
    <w:rsid w:val="00C44BBE"/>
    <w:rsid w:val="00C469A4"/>
    <w:rsid w:val="00C47CD7"/>
    <w:rsid w:val="00C507C3"/>
    <w:rsid w:val="00C52188"/>
    <w:rsid w:val="00C5358D"/>
    <w:rsid w:val="00C53C9A"/>
    <w:rsid w:val="00C56AB8"/>
    <w:rsid w:val="00C56D03"/>
    <w:rsid w:val="00C607F8"/>
    <w:rsid w:val="00C61603"/>
    <w:rsid w:val="00C62BBB"/>
    <w:rsid w:val="00C6302E"/>
    <w:rsid w:val="00C63B3B"/>
    <w:rsid w:val="00C64AD3"/>
    <w:rsid w:val="00C66A8B"/>
    <w:rsid w:val="00C66DCD"/>
    <w:rsid w:val="00C671A6"/>
    <w:rsid w:val="00C677B9"/>
    <w:rsid w:val="00C7135C"/>
    <w:rsid w:val="00C731E8"/>
    <w:rsid w:val="00C770B0"/>
    <w:rsid w:val="00C832E2"/>
    <w:rsid w:val="00C83B2F"/>
    <w:rsid w:val="00C83DF8"/>
    <w:rsid w:val="00C858FA"/>
    <w:rsid w:val="00C8699C"/>
    <w:rsid w:val="00C86A37"/>
    <w:rsid w:val="00C90D52"/>
    <w:rsid w:val="00C938A5"/>
    <w:rsid w:val="00C945DD"/>
    <w:rsid w:val="00C97277"/>
    <w:rsid w:val="00CA0DC9"/>
    <w:rsid w:val="00CA1410"/>
    <w:rsid w:val="00CA15FB"/>
    <w:rsid w:val="00CA391F"/>
    <w:rsid w:val="00CA43A1"/>
    <w:rsid w:val="00CA4E97"/>
    <w:rsid w:val="00CA5249"/>
    <w:rsid w:val="00CA63B1"/>
    <w:rsid w:val="00CB13DC"/>
    <w:rsid w:val="00CB2DEC"/>
    <w:rsid w:val="00CB59D1"/>
    <w:rsid w:val="00CC0F54"/>
    <w:rsid w:val="00CC2BF7"/>
    <w:rsid w:val="00CC3D0D"/>
    <w:rsid w:val="00CC6FA2"/>
    <w:rsid w:val="00CD23DC"/>
    <w:rsid w:val="00CD33C4"/>
    <w:rsid w:val="00CD4424"/>
    <w:rsid w:val="00CD5730"/>
    <w:rsid w:val="00CD5B9E"/>
    <w:rsid w:val="00CE0F2E"/>
    <w:rsid w:val="00CE17A5"/>
    <w:rsid w:val="00CE5367"/>
    <w:rsid w:val="00CE6D6D"/>
    <w:rsid w:val="00CF0C2D"/>
    <w:rsid w:val="00CF1C3C"/>
    <w:rsid w:val="00CF1F0A"/>
    <w:rsid w:val="00CF561E"/>
    <w:rsid w:val="00CF6520"/>
    <w:rsid w:val="00CF65CD"/>
    <w:rsid w:val="00CF7499"/>
    <w:rsid w:val="00CF7B71"/>
    <w:rsid w:val="00D044DD"/>
    <w:rsid w:val="00D105D7"/>
    <w:rsid w:val="00D10B6F"/>
    <w:rsid w:val="00D11503"/>
    <w:rsid w:val="00D12BE8"/>
    <w:rsid w:val="00D14796"/>
    <w:rsid w:val="00D1613E"/>
    <w:rsid w:val="00D16D7D"/>
    <w:rsid w:val="00D17ACB"/>
    <w:rsid w:val="00D20077"/>
    <w:rsid w:val="00D2086C"/>
    <w:rsid w:val="00D20DB3"/>
    <w:rsid w:val="00D23445"/>
    <w:rsid w:val="00D24C30"/>
    <w:rsid w:val="00D26083"/>
    <w:rsid w:val="00D26EB7"/>
    <w:rsid w:val="00D2797E"/>
    <w:rsid w:val="00D308D9"/>
    <w:rsid w:val="00D30DD9"/>
    <w:rsid w:val="00D33ACA"/>
    <w:rsid w:val="00D36611"/>
    <w:rsid w:val="00D4229E"/>
    <w:rsid w:val="00D4272F"/>
    <w:rsid w:val="00D42E7B"/>
    <w:rsid w:val="00D51776"/>
    <w:rsid w:val="00D538CE"/>
    <w:rsid w:val="00D572EB"/>
    <w:rsid w:val="00D61536"/>
    <w:rsid w:val="00D61F41"/>
    <w:rsid w:val="00D62C77"/>
    <w:rsid w:val="00D62DA7"/>
    <w:rsid w:val="00D679DE"/>
    <w:rsid w:val="00D7081E"/>
    <w:rsid w:val="00D726E8"/>
    <w:rsid w:val="00D743B6"/>
    <w:rsid w:val="00D74957"/>
    <w:rsid w:val="00D77F94"/>
    <w:rsid w:val="00D80059"/>
    <w:rsid w:val="00D81B3B"/>
    <w:rsid w:val="00D84113"/>
    <w:rsid w:val="00D85082"/>
    <w:rsid w:val="00D86132"/>
    <w:rsid w:val="00D92DC5"/>
    <w:rsid w:val="00D94526"/>
    <w:rsid w:val="00D94F12"/>
    <w:rsid w:val="00D95643"/>
    <w:rsid w:val="00DA1A87"/>
    <w:rsid w:val="00DB2075"/>
    <w:rsid w:val="00DB2DDD"/>
    <w:rsid w:val="00DB525D"/>
    <w:rsid w:val="00DB55B9"/>
    <w:rsid w:val="00DB6369"/>
    <w:rsid w:val="00DB6EE5"/>
    <w:rsid w:val="00DB7041"/>
    <w:rsid w:val="00DC3CE7"/>
    <w:rsid w:val="00DC5857"/>
    <w:rsid w:val="00DC739A"/>
    <w:rsid w:val="00DC7DF4"/>
    <w:rsid w:val="00DD29DC"/>
    <w:rsid w:val="00DD4F5E"/>
    <w:rsid w:val="00DE09D9"/>
    <w:rsid w:val="00DE1C54"/>
    <w:rsid w:val="00DE1FE6"/>
    <w:rsid w:val="00DE30A8"/>
    <w:rsid w:val="00DF238C"/>
    <w:rsid w:val="00DF4393"/>
    <w:rsid w:val="00E021E3"/>
    <w:rsid w:val="00E04447"/>
    <w:rsid w:val="00E05A6B"/>
    <w:rsid w:val="00E06970"/>
    <w:rsid w:val="00E079CA"/>
    <w:rsid w:val="00E1167F"/>
    <w:rsid w:val="00E1189A"/>
    <w:rsid w:val="00E11AAE"/>
    <w:rsid w:val="00E11E69"/>
    <w:rsid w:val="00E15CA5"/>
    <w:rsid w:val="00E16146"/>
    <w:rsid w:val="00E20757"/>
    <w:rsid w:val="00E20A2C"/>
    <w:rsid w:val="00E20A8A"/>
    <w:rsid w:val="00E22258"/>
    <w:rsid w:val="00E246BF"/>
    <w:rsid w:val="00E251B6"/>
    <w:rsid w:val="00E27A82"/>
    <w:rsid w:val="00E313DA"/>
    <w:rsid w:val="00E3220A"/>
    <w:rsid w:val="00E3232C"/>
    <w:rsid w:val="00E32A95"/>
    <w:rsid w:val="00E32BFB"/>
    <w:rsid w:val="00E34923"/>
    <w:rsid w:val="00E34CA5"/>
    <w:rsid w:val="00E35E89"/>
    <w:rsid w:val="00E36862"/>
    <w:rsid w:val="00E404F9"/>
    <w:rsid w:val="00E414CC"/>
    <w:rsid w:val="00E41B17"/>
    <w:rsid w:val="00E4491D"/>
    <w:rsid w:val="00E44CE8"/>
    <w:rsid w:val="00E467E7"/>
    <w:rsid w:val="00E50F60"/>
    <w:rsid w:val="00E539E7"/>
    <w:rsid w:val="00E65ADB"/>
    <w:rsid w:val="00E66BA4"/>
    <w:rsid w:val="00E7095D"/>
    <w:rsid w:val="00E72FFF"/>
    <w:rsid w:val="00E80CC5"/>
    <w:rsid w:val="00E81CC9"/>
    <w:rsid w:val="00E825CA"/>
    <w:rsid w:val="00E84118"/>
    <w:rsid w:val="00E857E0"/>
    <w:rsid w:val="00E86979"/>
    <w:rsid w:val="00E909DE"/>
    <w:rsid w:val="00E9289E"/>
    <w:rsid w:val="00E92EF9"/>
    <w:rsid w:val="00EA1519"/>
    <w:rsid w:val="00EA1D11"/>
    <w:rsid w:val="00EA3214"/>
    <w:rsid w:val="00EA4E04"/>
    <w:rsid w:val="00EB0407"/>
    <w:rsid w:val="00EB0536"/>
    <w:rsid w:val="00EB2587"/>
    <w:rsid w:val="00EB2906"/>
    <w:rsid w:val="00EB42A8"/>
    <w:rsid w:val="00EB5601"/>
    <w:rsid w:val="00EC068D"/>
    <w:rsid w:val="00EC3B30"/>
    <w:rsid w:val="00EC501A"/>
    <w:rsid w:val="00EC526F"/>
    <w:rsid w:val="00EC5C01"/>
    <w:rsid w:val="00ED48FD"/>
    <w:rsid w:val="00ED4E6E"/>
    <w:rsid w:val="00ED66C2"/>
    <w:rsid w:val="00EF0046"/>
    <w:rsid w:val="00EF08E3"/>
    <w:rsid w:val="00EF27DB"/>
    <w:rsid w:val="00EF2E4D"/>
    <w:rsid w:val="00EF3427"/>
    <w:rsid w:val="00EF5074"/>
    <w:rsid w:val="00EF62FE"/>
    <w:rsid w:val="00F020F8"/>
    <w:rsid w:val="00F0278D"/>
    <w:rsid w:val="00F04AE2"/>
    <w:rsid w:val="00F10410"/>
    <w:rsid w:val="00F10924"/>
    <w:rsid w:val="00F153A8"/>
    <w:rsid w:val="00F1548E"/>
    <w:rsid w:val="00F15CEC"/>
    <w:rsid w:val="00F16569"/>
    <w:rsid w:val="00F178DE"/>
    <w:rsid w:val="00F17EF3"/>
    <w:rsid w:val="00F21049"/>
    <w:rsid w:val="00F31033"/>
    <w:rsid w:val="00F31ECF"/>
    <w:rsid w:val="00F32027"/>
    <w:rsid w:val="00F34445"/>
    <w:rsid w:val="00F34BA8"/>
    <w:rsid w:val="00F37B38"/>
    <w:rsid w:val="00F40984"/>
    <w:rsid w:val="00F40B38"/>
    <w:rsid w:val="00F43209"/>
    <w:rsid w:val="00F444B7"/>
    <w:rsid w:val="00F45304"/>
    <w:rsid w:val="00F46AB9"/>
    <w:rsid w:val="00F46B5A"/>
    <w:rsid w:val="00F46CC7"/>
    <w:rsid w:val="00F50E71"/>
    <w:rsid w:val="00F519E6"/>
    <w:rsid w:val="00F52633"/>
    <w:rsid w:val="00F53DC4"/>
    <w:rsid w:val="00F57032"/>
    <w:rsid w:val="00F6104A"/>
    <w:rsid w:val="00F65292"/>
    <w:rsid w:val="00F66234"/>
    <w:rsid w:val="00F75CA3"/>
    <w:rsid w:val="00F76B77"/>
    <w:rsid w:val="00F77EF6"/>
    <w:rsid w:val="00F80238"/>
    <w:rsid w:val="00F83572"/>
    <w:rsid w:val="00F8357C"/>
    <w:rsid w:val="00F85E4C"/>
    <w:rsid w:val="00F86215"/>
    <w:rsid w:val="00F86688"/>
    <w:rsid w:val="00F8713D"/>
    <w:rsid w:val="00F87ECD"/>
    <w:rsid w:val="00F90B68"/>
    <w:rsid w:val="00F91888"/>
    <w:rsid w:val="00F918E7"/>
    <w:rsid w:val="00F92853"/>
    <w:rsid w:val="00F947AE"/>
    <w:rsid w:val="00F94EF4"/>
    <w:rsid w:val="00F9521A"/>
    <w:rsid w:val="00F957D3"/>
    <w:rsid w:val="00FA0A5E"/>
    <w:rsid w:val="00FA0DB6"/>
    <w:rsid w:val="00FA1C4A"/>
    <w:rsid w:val="00FA2DCB"/>
    <w:rsid w:val="00FA3625"/>
    <w:rsid w:val="00FA64DA"/>
    <w:rsid w:val="00FA652A"/>
    <w:rsid w:val="00FA7D7E"/>
    <w:rsid w:val="00FB2DD0"/>
    <w:rsid w:val="00FB4C0B"/>
    <w:rsid w:val="00FB5BF5"/>
    <w:rsid w:val="00FB6C47"/>
    <w:rsid w:val="00FB702E"/>
    <w:rsid w:val="00FB7E2B"/>
    <w:rsid w:val="00FC1729"/>
    <w:rsid w:val="00FC1ED1"/>
    <w:rsid w:val="00FC21E2"/>
    <w:rsid w:val="00FC2995"/>
    <w:rsid w:val="00FC345F"/>
    <w:rsid w:val="00FC43C8"/>
    <w:rsid w:val="00FC4B72"/>
    <w:rsid w:val="00FC4D89"/>
    <w:rsid w:val="00FC5206"/>
    <w:rsid w:val="00FD028C"/>
    <w:rsid w:val="00FD2217"/>
    <w:rsid w:val="00FD5AA1"/>
    <w:rsid w:val="00FD76CC"/>
    <w:rsid w:val="00FE097C"/>
    <w:rsid w:val="00FE0CF9"/>
    <w:rsid w:val="00FE35D0"/>
    <w:rsid w:val="00FE3F4D"/>
    <w:rsid w:val="00FE45A9"/>
    <w:rsid w:val="00FE5074"/>
    <w:rsid w:val="00FE5DBC"/>
    <w:rsid w:val="00FE6FDC"/>
    <w:rsid w:val="00FE71D7"/>
    <w:rsid w:val="00FF00FB"/>
    <w:rsid w:val="00FF014F"/>
    <w:rsid w:val="00FF03D7"/>
    <w:rsid w:val="00FF0D1C"/>
    <w:rsid w:val="00FF6451"/>
    <w:rsid w:val="00FF793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36">
      <o:colormru v:ext="edit" colors="#ddd,#f8f8f8"/>
      <o:colormenu v:ext="edit" fillcolor="#f8f8f8"/>
    </o:shapedefaults>
    <o:shapelayout v:ext="edit">
      <o:idmap v:ext="edit" data="1"/>
      <o:regrouptable v:ext="edit">
        <o:entry new="1" old="0"/>
        <o:entry new="2" old="0"/>
        <o:entry new="3" old="0"/>
        <o:entry new="4" old="3"/>
        <o:entry new="5" old="3"/>
        <o:entry new="6" old="5"/>
        <o:entry new="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267">
    <w:lsdException w:name="Normal" w:uiPriority="0" w:qFormat="1"/>
    <w:lsdException w:name="heading 1" w:uiPriority="1" w:qFormat="1"/>
    <w:lsdException w:name="heading 2" w:uiPriority="1" w:qFormat="1"/>
    <w:lsdException w:name="heading 3" w:uiPriority="1" w:qFormat="1"/>
    <w:lsdException w:name="heading 4" w:uiPriority="71" w:qFormat="1"/>
    <w:lsdException w:name="heading 5" w:uiPriority="71"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qFormat="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4"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iPriority="2" w:unhideWhenUsed="1" w:qFormat="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qFormat="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qFormat="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qFormat="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lsdException w:name="Table Grid"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A16C71"/>
    <w:pPr>
      <w:spacing w:after="120"/>
      <w:jc w:val="both"/>
    </w:pPr>
    <w:rPr>
      <w:color w:val="000000"/>
      <w:sz w:val="22"/>
      <w:szCs w:val="22"/>
      <w:lang w:val="en-AU" w:eastAsia="en-AU"/>
    </w:rPr>
  </w:style>
  <w:style w:type="paragraph" w:styleId="Heading1">
    <w:name w:val="heading 1"/>
    <w:basedOn w:val="Normal"/>
    <w:next w:val="Normal"/>
    <w:link w:val="Heading1Char"/>
    <w:uiPriority w:val="1"/>
    <w:qFormat/>
    <w:rsid w:val="004666B7"/>
    <w:pPr>
      <w:keepNext/>
      <w:keepLines/>
      <w:pageBreakBefore/>
      <w:numPr>
        <w:numId w:val="14"/>
      </w:numPr>
      <w:tabs>
        <w:tab w:val="left" w:pos="851"/>
      </w:tabs>
      <w:spacing w:after="1080" w:line="480" w:lineRule="exact"/>
      <w:ind w:left="851" w:hanging="851"/>
      <w:outlineLvl w:val="0"/>
    </w:pPr>
    <w:rPr>
      <w:rFonts w:eastAsia="Times New Roman"/>
      <w:b/>
      <w:bCs/>
      <w:color w:val="41B6E6"/>
      <w:sz w:val="44"/>
      <w:szCs w:val="28"/>
    </w:rPr>
  </w:style>
  <w:style w:type="paragraph" w:styleId="Heading2">
    <w:name w:val="heading 2"/>
    <w:basedOn w:val="Normal"/>
    <w:next w:val="Normal"/>
    <w:link w:val="Heading2Char"/>
    <w:uiPriority w:val="1"/>
    <w:qFormat/>
    <w:rsid w:val="004F26F8"/>
    <w:pPr>
      <w:keepNext/>
      <w:numPr>
        <w:ilvl w:val="1"/>
        <w:numId w:val="14"/>
      </w:numPr>
      <w:tabs>
        <w:tab w:val="left" w:pos="851"/>
      </w:tabs>
      <w:spacing w:before="360" w:after="240"/>
      <w:ind w:left="851" w:hanging="851"/>
      <w:outlineLvl w:val="1"/>
    </w:pPr>
    <w:rPr>
      <w:rFonts w:eastAsia="Times New Roman"/>
      <w:bCs/>
      <w:color w:val="41B6E6"/>
      <w:sz w:val="32"/>
      <w:szCs w:val="26"/>
    </w:rPr>
  </w:style>
  <w:style w:type="paragraph" w:styleId="Heading3">
    <w:name w:val="heading 3"/>
    <w:basedOn w:val="Heading2"/>
    <w:next w:val="Normal"/>
    <w:link w:val="Heading3Char"/>
    <w:uiPriority w:val="1"/>
    <w:qFormat/>
    <w:rsid w:val="004F26F8"/>
    <w:pPr>
      <w:numPr>
        <w:ilvl w:val="2"/>
      </w:numPr>
      <w:outlineLvl w:val="2"/>
    </w:pPr>
    <w:rPr>
      <w:b/>
      <w:caps/>
      <w:color w:val="auto"/>
      <w:sz w:val="26"/>
    </w:rPr>
  </w:style>
  <w:style w:type="paragraph" w:styleId="Heading4">
    <w:name w:val="heading 4"/>
    <w:basedOn w:val="Normal"/>
    <w:next w:val="Normal"/>
    <w:link w:val="Heading4Char"/>
    <w:uiPriority w:val="1"/>
    <w:qFormat/>
    <w:rsid w:val="001249CC"/>
    <w:pPr>
      <w:keepNext/>
      <w:keepLines/>
      <w:spacing w:before="240"/>
      <w:outlineLvl w:val="3"/>
    </w:pPr>
    <w:rPr>
      <w:rFonts w:eastAsia="Times New Roman"/>
      <w:b/>
      <w:bCs/>
      <w:iCs/>
      <w:color w:val="41B6E6"/>
      <w:spacing w:val="1"/>
      <w:sz w:val="24"/>
    </w:rPr>
  </w:style>
  <w:style w:type="paragraph" w:styleId="Heading5">
    <w:name w:val="heading 5"/>
    <w:basedOn w:val="Normal"/>
    <w:next w:val="Normal"/>
    <w:link w:val="Heading5Char"/>
    <w:uiPriority w:val="1"/>
    <w:qFormat/>
    <w:rsid w:val="003F1FBD"/>
    <w:pPr>
      <w:keepNext/>
      <w:keepLines/>
      <w:spacing w:before="240"/>
      <w:outlineLvl w:val="4"/>
    </w:pPr>
    <w:rPr>
      <w:rFonts w:eastAsia="Times New Roman"/>
      <w:b/>
    </w:rPr>
  </w:style>
  <w:style w:type="paragraph" w:styleId="Heading6">
    <w:name w:val="heading 6"/>
    <w:basedOn w:val="Normal"/>
    <w:next w:val="Normal"/>
    <w:link w:val="Heading6Char"/>
    <w:uiPriority w:val="99"/>
    <w:qFormat/>
    <w:rsid w:val="001249CC"/>
    <w:pPr>
      <w:keepNext/>
      <w:keepLines/>
      <w:spacing w:before="200"/>
      <w:outlineLvl w:val="5"/>
    </w:pPr>
    <w:rPr>
      <w:rFonts w:eastAsia="Times New Roman"/>
      <w:i/>
      <w:iCs/>
    </w:rPr>
  </w:style>
  <w:style w:type="paragraph" w:styleId="Heading7">
    <w:name w:val="heading 7"/>
    <w:basedOn w:val="Normal"/>
    <w:next w:val="Normal"/>
    <w:link w:val="Heading7Char"/>
    <w:uiPriority w:val="99"/>
    <w:qFormat/>
    <w:locked/>
    <w:rsid w:val="00DB55B9"/>
    <w:pPr>
      <w:spacing w:before="240" w:after="60"/>
      <w:outlineLvl w:val="6"/>
    </w:pPr>
    <w:rPr>
      <w:sz w:val="24"/>
      <w:szCs w:val="24"/>
    </w:rPr>
  </w:style>
  <w:style w:type="paragraph" w:styleId="Heading8">
    <w:name w:val="heading 8"/>
    <w:basedOn w:val="Normal"/>
    <w:next w:val="Normal"/>
    <w:link w:val="Heading8Char"/>
    <w:uiPriority w:val="99"/>
    <w:qFormat/>
    <w:locked/>
    <w:rsid w:val="00DB55B9"/>
    <w:pPr>
      <w:spacing w:before="240" w:after="60"/>
      <w:outlineLvl w:val="7"/>
    </w:pPr>
    <w:rPr>
      <w:i/>
      <w:iCs/>
      <w:sz w:val="24"/>
      <w:szCs w:val="24"/>
    </w:rPr>
  </w:style>
  <w:style w:type="paragraph" w:styleId="Heading9">
    <w:name w:val="heading 9"/>
    <w:aliases w:val="Appendix Heading 1"/>
    <w:basedOn w:val="AppendixHeading1base"/>
    <w:next w:val="Normal"/>
    <w:link w:val="Heading9Char"/>
    <w:uiPriority w:val="10"/>
    <w:qFormat/>
    <w:locked/>
    <w:rsid w:val="00F04AE2"/>
    <w:pPr>
      <w:spacing w:after="10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locked/>
    <w:rsid w:val="00DB55B9"/>
    <w:rPr>
      <w:rFonts w:eastAsia="Times New Roman"/>
      <w:b/>
      <w:bCs/>
      <w:color w:val="41B6E6"/>
      <w:sz w:val="44"/>
      <w:szCs w:val="28"/>
      <w:lang w:val="en-AU" w:eastAsia="en-AU"/>
    </w:rPr>
  </w:style>
  <w:style w:type="character" w:customStyle="1" w:styleId="Heading2Char">
    <w:name w:val="Heading 2 Char"/>
    <w:basedOn w:val="DefaultParagraphFont"/>
    <w:link w:val="Heading2"/>
    <w:uiPriority w:val="1"/>
    <w:locked/>
    <w:rsid w:val="00DB55B9"/>
    <w:rPr>
      <w:rFonts w:eastAsia="Times New Roman"/>
      <w:bCs/>
      <w:color w:val="41B6E6"/>
      <w:sz w:val="32"/>
      <w:szCs w:val="26"/>
      <w:lang w:val="en-AU" w:eastAsia="en-AU"/>
    </w:rPr>
  </w:style>
  <w:style w:type="character" w:customStyle="1" w:styleId="Heading3Char">
    <w:name w:val="Heading 3 Char"/>
    <w:basedOn w:val="DefaultParagraphFont"/>
    <w:link w:val="Heading3"/>
    <w:uiPriority w:val="1"/>
    <w:locked/>
    <w:rsid w:val="00DB55B9"/>
    <w:rPr>
      <w:rFonts w:eastAsia="Times New Roman"/>
      <w:b/>
      <w:bCs/>
      <w:caps/>
      <w:sz w:val="26"/>
      <w:szCs w:val="26"/>
      <w:lang w:val="en-AU" w:eastAsia="en-AU"/>
    </w:rPr>
  </w:style>
  <w:style w:type="character" w:customStyle="1" w:styleId="Heading4Char">
    <w:name w:val="Heading 4 Char"/>
    <w:basedOn w:val="DefaultParagraphFont"/>
    <w:link w:val="Heading4"/>
    <w:uiPriority w:val="1"/>
    <w:locked/>
    <w:rsid w:val="00DB55B9"/>
    <w:rPr>
      <w:rFonts w:eastAsia="Times New Roman" w:cs="Times New Roman"/>
      <w:b/>
      <w:bCs/>
      <w:iCs/>
      <w:color w:val="41B6E6"/>
      <w:spacing w:val="1"/>
      <w:sz w:val="24"/>
    </w:rPr>
  </w:style>
  <w:style w:type="character" w:customStyle="1" w:styleId="Heading5Char">
    <w:name w:val="Heading 5 Char"/>
    <w:basedOn w:val="DefaultParagraphFont"/>
    <w:link w:val="Heading5"/>
    <w:uiPriority w:val="1"/>
    <w:locked/>
    <w:rsid w:val="00DB55B9"/>
    <w:rPr>
      <w:rFonts w:eastAsia="Times New Roman" w:cs="Times New Roman"/>
      <w:b/>
      <w:color w:val="000000"/>
    </w:rPr>
  </w:style>
  <w:style w:type="character" w:customStyle="1" w:styleId="Heading6Char">
    <w:name w:val="Heading 6 Char"/>
    <w:basedOn w:val="DefaultParagraphFont"/>
    <w:link w:val="Heading6"/>
    <w:uiPriority w:val="99"/>
    <w:semiHidden/>
    <w:locked/>
    <w:rsid w:val="00DB55B9"/>
    <w:rPr>
      <w:rFonts w:eastAsia="Times New Roman" w:cs="Times New Roman"/>
      <w:i/>
      <w:iCs/>
      <w:color w:val="000000"/>
    </w:rPr>
  </w:style>
  <w:style w:type="character" w:customStyle="1" w:styleId="Heading7Char">
    <w:name w:val="Heading 7 Char"/>
    <w:basedOn w:val="DefaultParagraphFont"/>
    <w:link w:val="Heading7"/>
    <w:uiPriority w:val="99"/>
    <w:semiHidden/>
    <w:locked/>
    <w:rsid w:val="00DB55B9"/>
    <w:rPr>
      <w:rFonts w:ascii="Calibri" w:eastAsia="Calibri" w:hAnsi="Calibri" w:cs="Times New Roman"/>
      <w:color w:val="000000"/>
      <w:sz w:val="24"/>
      <w:szCs w:val="24"/>
    </w:rPr>
  </w:style>
  <w:style w:type="character" w:customStyle="1" w:styleId="Heading8Char">
    <w:name w:val="Heading 8 Char"/>
    <w:basedOn w:val="DefaultParagraphFont"/>
    <w:link w:val="Heading8"/>
    <w:uiPriority w:val="99"/>
    <w:semiHidden/>
    <w:locked/>
    <w:rsid w:val="00DB55B9"/>
    <w:rPr>
      <w:rFonts w:ascii="Calibri" w:eastAsia="Calibri" w:hAnsi="Calibri" w:cs="Times New Roman"/>
      <w:i/>
      <w:iCs/>
      <w:color w:val="000000"/>
      <w:sz w:val="24"/>
      <w:szCs w:val="24"/>
    </w:rPr>
  </w:style>
  <w:style w:type="character" w:customStyle="1" w:styleId="Heading9Char">
    <w:name w:val="Heading 9 Char"/>
    <w:aliases w:val="Appendix Heading 1 Char"/>
    <w:basedOn w:val="DefaultParagraphFont"/>
    <w:link w:val="Heading9"/>
    <w:uiPriority w:val="10"/>
    <w:locked/>
    <w:rsid w:val="00F04AE2"/>
    <w:rPr>
      <w:rFonts w:eastAsia="Times New Roman"/>
      <w:b/>
      <w:bCs/>
      <w:color w:val="41B6E6"/>
      <w:sz w:val="44"/>
      <w:szCs w:val="28"/>
      <w:lang w:val="en-AU" w:eastAsia="en-AU"/>
    </w:rPr>
  </w:style>
  <w:style w:type="paragraph" w:styleId="Header">
    <w:name w:val="header"/>
    <w:basedOn w:val="Normal"/>
    <w:link w:val="HeaderChar"/>
    <w:uiPriority w:val="99"/>
    <w:semiHidden/>
    <w:rsid w:val="00944443"/>
    <w:rPr>
      <w:caps/>
      <w:color w:val="FFFFFF"/>
      <w:spacing w:val="16"/>
    </w:rPr>
  </w:style>
  <w:style w:type="character" w:customStyle="1" w:styleId="HeaderChar">
    <w:name w:val="Header Char"/>
    <w:basedOn w:val="DefaultParagraphFont"/>
    <w:link w:val="Header"/>
    <w:uiPriority w:val="99"/>
    <w:semiHidden/>
    <w:locked/>
    <w:rsid w:val="00DB55B9"/>
    <w:rPr>
      <w:rFonts w:eastAsia="Calibri"/>
      <w:caps/>
      <w:color w:val="FFFFFF"/>
      <w:spacing w:val="16"/>
    </w:rPr>
  </w:style>
  <w:style w:type="paragraph" w:styleId="Footer">
    <w:name w:val="footer"/>
    <w:basedOn w:val="Normal"/>
    <w:link w:val="FooterChar"/>
    <w:uiPriority w:val="99"/>
    <w:semiHidden/>
    <w:unhideWhenUsed/>
    <w:rsid w:val="00782488"/>
    <w:pPr>
      <w:tabs>
        <w:tab w:val="center" w:pos="4513"/>
        <w:tab w:val="right" w:pos="9026"/>
      </w:tabs>
      <w:spacing w:after="0" w:line="220" w:lineRule="atLeast"/>
    </w:pPr>
    <w:rPr>
      <w:color w:val="auto"/>
      <w:sz w:val="16"/>
    </w:rPr>
  </w:style>
  <w:style w:type="character" w:customStyle="1" w:styleId="FooterChar">
    <w:name w:val="Footer Char"/>
    <w:basedOn w:val="DefaultParagraphFont"/>
    <w:link w:val="Footer"/>
    <w:uiPriority w:val="99"/>
    <w:semiHidden/>
    <w:locked/>
    <w:rsid w:val="00DB55B9"/>
    <w:rPr>
      <w:rFonts w:eastAsia="Calibri"/>
      <w:sz w:val="16"/>
    </w:rPr>
  </w:style>
  <w:style w:type="paragraph" w:styleId="BalloonText">
    <w:name w:val="Balloon Text"/>
    <w:basedOn w:val="Normal"/>
    <w:link w:val="BalloonTextChar"/>
    <w:uiPriority w:val="99"/>
    <w:semiHidden/>
    <w:locked/>
    <w:rsid w:val="00064612"/>
    <w:pPr>
      <w:spacing w:after="0"/>
    </w:pPr>
    <w:rPr>
      <w:rFonts w:ascii="Tahoma" w:hAnsi="Tahoma" w:cs="Tahoma"/>
      <w:sz w:val="16"/>
      <w:szCs w:val="16"/>
    </w:rPr>
  </w:style>
  <w:style w:type="paragraph" w:styleId="ListBullet">
    <w:name w:val="List Bullet"/>
    <w:basedOn w:val="Normal"/>
    <w:uiPriority w:val="2"/>
    <w:qFormat/>
    <w:rsid w:val="00273A31"/>
    <w:pPr>
      <w:numPr>
        <w:numId w:val="6"/>
      </w:numPr>
      <w:tabs>
        <w:tab w:val="left" w:pos="397"/>
      </w:tabs>
      <w:ind w:left="397" w:hanging="397"/>
      <w:contextualSpacing/>
    </w:pPr>
  </w:style>
  <w:style w:type="paragraph" w:styleId="ListNumber">
    <w:name w:val="List Number"/>
    <w:basedOn w:val="Normal"/>
    <w:uiPriority w:val="2"/>
    <w:qFormat/>
    <w:rsid w:val="00273A31"/>
    <w:pPr>
      <w:numPr>
        <w:numId w:val="9"/>
      </w:numPr>
      <w:tabs>
        <w:tab w:val="clear" w:pos="227"/>
        <w:tab w:val="left" w:pos="397"/>
      </w:tabs>
      <w:ind w:left="397" w:hanging="397"/>
    </w:pPr>
  </w:style>
  <w:style w:type="paragraph" w:styleId="ListBullet2">
    <w:name w:val="List Bullet 2"/>
    <w:basedOn w:val="ListBullet"/>
    <w:uiPriority w:val="2"/>
    <w:qFormat/>
    <w:rsid w:val="00273A31"/>
    <w:pPr>
      <w:numPr>
        <w:ilvl w:val="1"/>
      </w:numPr>
      <w:tabs>
        <w:tab w:val="clear" w:pos="397"/>
        <w:tab w:val="left" w:pos="794"/>
      </w:tabs>
      <w:ind w:left="794"/>
    </w:pPr>
  </w:style>
  <w:style w:type="paragraph" w:styleId="TOC1">
    <w:name w:val="toc 1"/>
    <w:basedOn w:val="Normal"/>
    <w:next w:val="Normal"/>
    <w:uiPriority w:val="39"/>
    <w:unhideWhenUsed/>
    <w:rsid w:val="008F7A9C"/>
    <w:pPr>
      <w:pBdr>
        <w:top w:val="single" w:sz="4" w:space="1" w:color="41B6E6"/>
        <w:left w:val="single" w:sz="4" w:space="4" w:color="41B6E6"/>
        <w:bottom w:val="single" w:sz="4" w:space="1" w:color="41B6E6"/>
        <w:right w:val="single" w:sz="4" w:space="4" w:color="41B6E6"/>
      </w:pBdr>
      <w:shd w:val="clear" w:color="auto" w:fill="41B6E6"/>
      <w:tabs>
        <w:tab w:val="left" w:pos="737"/>
        <w:tab w:val="right" w:pos="9639"/>
      </w:tabs>
      <w:spacing w:before="240" w:after="180"/>
    </w:pPr>
    <w:rPr>
      <w:b/>
      <w:noProof/>
      <w:color w:val="FFFFFF"/>
    </w:rPr>
  </w:style>
  <w:style w:type="paragraph" w:styleId="TOC2">
    <w:name w:val="toc 2"/>
    <w:basedOn w:val="Normal"/>
    <w:next w:val="Normal"/>
    <w:uiPriority w:val="39"/>
    <w:unhideWhenUsed/>
    <w:rsid w:val="00462182"/>
    <w:pPr>
      <w:tabs>
        <w:tab w:val="left" w:pos="737"/>
        <w:tab w:val="right" w:leader="dot" w:pos="9639"/>
      </w:tabs>
      <w:spacing w:before="120" w:after="0"/>
      <w:ind w:right="284"/>
    </w:pPr>
    <w:rPr>
      <w:color w:val="41B6E6"/>
    </w:rPr>
  </w:style>
  <w:style w:type="table" w:styleId="TableGrid">
    <w:name w:val="Table Grid"/>
    <w:basedOn w:val="TableNormal"/>
    <w:uiPriority w:val="59"/>
    <w:rsid w:val="006F4826"/>
    <w:tblPr>
      <w:tblInd w:w="0" w:type="dxa"/>
      <w:tblBorders>
        <w:top w:val="single" w:sz="4" w:space="0" w:color="00313C"/>
        <w:left w:val="single" w:sz="4" w:space="0" w:color="00313C"/>
        <w:bottom w:val="single" w:sz="4" w:space="0" w:color="00313C"/>
        <w:right w:val="single" w:sz="4" w:space="0" w:color="00313C"/>
        <w:insideH w:val="single" w:sz="4" w:space="0" w:color="00313C"/>
        <w:insideV w:val="single" w:sz="4" w:space="0" w:color="00313C"/>
      </w:tblBorders>
      <w:tblCellMar>
        <w:top w:w="0" w:type="dxa"/>
        <w:left w:w="108" w:type="dxa"/>
        <w:bottom w:w="0" w:type="dxa"/>
        <w:right w:w="108" w:type="dxa"/>
      </w:tblCellMar>
    </w:tblPr>
  </w:style>
  <w:style w:type="character" w:styleId="PageNumber">
    <w:name w:val="page number"/>
    <w:basedOn w:val="DefaultParagraphFont"/>
    <w:uiPriority w:val="99"/>
    <w:semiHidden/>
    <w:rsid w:val="00752473"/>
    <w:rPr>
      <w:rFonts w:ascii="Calibri" w:hAnsi="Calibri" w:cs="Times New Roman"/>
      <w:sz w:val="16"/>
    </w:rPr>
  </w:style>
  <w:style w:type="paragraph" w:styleId="TOC3">
    <w:name w:val="toc 3"/>
    <w:basedOn w:val="Normal"/>
    <w:next w:val="Normal"/>
    <w:uiPriority w:val="39"/>
    <w:unhideWhenUsed/>
    <w:rsid w:val="008F7A9C"/>
    <w:pPr>
      <w:tabs>
        <w:tab w:val="left" w:pos="1304"/>
        <w:tab w:val="right" w:leader="dot" w:pos="9639"/>
      </w:tabs>
      <w:spacing w:before="60" w:after="0"/>
      <w:ind w:left="737" w:right="284"/>
    </w:pPr>
    <w:rPr>
      <w:color w:val="41B6E6"/>
    </w:rPr>
  </w:style>
  <w:style w:type="paragraph" w:customStyle="1" w:styleId="CoverTitle">
    <w:name w:val="CoverTitle"/>
    <w:basedOn w:val="Normal"/>
    <w:uiPriority w:val="12"/>
    <w:qFormat/>
    <w:rsid w:val="00DB55B9"/>
    <w:pPr>
      <w:spacing w:after="170" w:line="1000" w:lineRule="exact"/>
    </w:pPr>
    <w:rPr>
      <w:rFonts w:eastAsia="Times New Roman"/>
      <w:b/>
      <w:color w:val="41B6E6"/>
      <w:spacing w:val="5"/>
      <w:kern w:val="28"/>
      <w:sz w:val="80"/>
      <w:szCs w:val="52"/>
    </w:rPr>
  </w:style>
  <w:style w:type="paragraph" w:customStyle="1" w:styleId="PartTitle">
    <w:name w:val="PartTitle"/>
    <w:basedOn w:val="Normal"/>
    <w:uiPriority w:val="15"/>
    <w:qFormat/>
    <w:rsid w:val="00914764"/>
    <w:pPr>
      <w:tabs>
        <w:tab w:val="left" w:pos="2552"/>
      </w:tabs>
      <w:spacing w:after="0" w:line="1000" w:lineRule="exact"/>
      <w:ind w:left="2552" w:hanging="2552"/>
      <w:outlineLvl w:val="0"/>
    </w:pPr>
    <w:rPr>
      <w:b/>
      <w:color w:val="004B87"/>
      <w:sz w:val="80"/>
    </w:rPr>
  </w:style>
  <w:style w:type="paragraph" w:customStyle="1" w:styleId="PartSubtitle">
    <w:name w:val="PartSubtitle"/>
    <w:basedOn w:val="PartTitle"/>
    <w:uiPriority w:val="15"/>
    <w:qFormat/>
    <w:rsid w:val="00D105D7"/>
    <w:pPr>
      <w:spacing w:before="360" w:after="240" w:line="340" w:lineRule="atLeast"/>
      <w:outlineLvl w:val="9"/>
    </w:pPr>
    <w:rPr>
      <w:b w:val="0"/>
      <w:color w:val="41B6E6"/>
      <w:sz w:val="34"/>
    </w:rPr>
  </w:style>
  <w:style w:type="paragraph" w:customStyle="1" w:styleId="ListofFiguresandTablesTOCHeading">
    <w:name w:val="List of Figures and Tables TOC Heading"/>
    <w:basedOn w:val="TOCHeading"/>
    <w:uiPriority w:val="14"/>
    <w:qFormat/>
    <w:rsid w:val="00064612"/>
  </w:style>
  <w:style w:type="paragraph" w:styleId="ListBullet3">
    <w:name w:val="List Bullet 3"/>
    <w:basedOn w:val="ListBullet2"/>
    <w:uiPriority w:val="99"/>
    <w:semiHidden/>
    <w:rsid w:val="00273A31"/>
    <w:pPr>
      <w:numPr>
        <w:ilvl w:val="2"/>
      </w:numPr>
      <w:tabs>
        <w:tab w:val="clear" w:pos="794"/>
        <w:tab w:val="left" w:pos="1191"/>
      </w:tabs>
      <w:ind w:left="2320" w:firstLine="0"/>
    </w:pPr>
  </w:style>
  <w:style w:type="paragraph" w:styleId="FootnoteText">
    <w:name w:val="footnote text"/>
    <w:basedOn w:val="Normal"/>
    <w:link w:val="FootnoteTextChar"/>
    <w:uiPriority w:val="99"/>
    <w:qFormat/>
    <w:rsid w:val="007A01EB"/>
    <w:pPr>
      <w:spacing w:after="0" w:line="180" w:lineRule="atLeast"/>
    </w:pPr>
    <w:rPr>
      <w:sz w:val="16"/>
      <w:szCs w:val="20"/>
    </w:rPr>
  </w:style>
  <w:style w:type="character" w:customStyle="1" w:styleId="FootnoteTextChar">
    <w:name w:val="Footnote Text Char"/>
    <w:basedOn w:val="DefaultParagraphFont"/>
    <w:link w:val="FootnoteText"/>
    <w:uiPriority w:val="99"/>
    <w:locked/>
    <w:rsid w:val="00DB55B9"/>
    <w:rPr>
      <w:rFonts w:eastAsia="Calibri"/>
      <w:color w:val="000000"/>
      <w:sz w:val="16"/>
      <w:szCs w:val="20"/>
    </w:rPr>
  </w:style>
  <w:style w:type="paragraph" w:customStyle="1" w:styleId="FootnoteHeading">
    <w:name w:val="Footnote Heading"/>
    <w:basedOn w:val="FootnoteText"/>
    <w:uiPriority w:val="9"/>
    <w:qFormat/>
    <w:rsid w:val="007A01EB"/>
    <w:rPr>
      <w:b/>
    </w:rPr>
  </w:style>
  <w:style w:type="paragraph" w:customStyle="1" w:styleId="Source">
    <w:name w:val="Source"/>
    <w:basedOn w:val="Normal"/>
    <w:next w:val="Normal"/>
    <w:uiPriority w:val="6"/>
    <w:qFormat/>
    <w:rsid w:val="00064612"/>
    <w:pPr>
      <w:tabs>
        <w:tab w:val="left" w:pos="539"/>
      </w:tabs>
      <w:spacing w:line="180" w:lineRule="atLeast"/>
      <w:ind w:left="624" w:hanging="624"/>
    </w:pPr>
    <w:rPr>
      <w:sz w:val="16"/>
      <w:szCs w:val="20"/>
    </w:rPr>
  </w:style>
  <w:style w:type="table" w:customStyle="1" w:styleId="TableCSIRO">
    <w:name w:val="Table_CSIRO"/>
    <w:uiPriority w:val="99"/>
    <w:rsid w:val="0091299A"/>
    <w:rPr>
      <w:lang w:val="en-AU" w:eastAsia="en-AU"/>
    </w:rPr>
    <w:tblPr>
      <w:tblStyleRowBandSize w:val="1"/>
      <w:tblStyleColBandSize w:val="1"/>
      <w:tblInd w:w="113" w:type="dxa"/>
      <w:tblBorders>
        <w:bottom w:val="single" w:sz="12" w:space="0" w:color="000000"/>
      </w:tblBorders>
      <w:tblCellMar>
        <w:top w:w="57" w:type="dxa"/>
        <w:left w:w="85" w:type="dxa"/>
        <w:bottom w:w="57" w:type="dxa"/>
        <w:right w:w="85" w:type="dxa"/>
      </w:tblCellMar>
    </w:tblPr>
  </w:style>
  <w:style w:type="paragraph" w:customStyle="1" w:styleId="TableText">
    <w:name w:val="TableText"/>
    <w:basedOn w:val="Normal"/>
    <w:uiPriority w:val="5"/>
    <w:qFormat/>
    <w:rsid w:val="00492547"/>
    <w:pPr>
      <w:spacing w:after="57" w:line="220" w:lineRule="atLeast"/>
    </w:pPr>
    <w:rPr>
      <w:sz w:val="18"/>
    </w:rPr>
  </w:style>
  <w:style w:type="paragraph" w:customStyle="1" w:styleId="TableBullet">
    <w:name w:val="TableBullet"/>
    <w:basedOn w:val="TableText"/>
    <w:uiPriority w:val="5"/>
    <w:qFormat/>
    <w:rsid w:val="006131D3"/>
    <w:pPr>
      <w:numPr>
        <w:numId w:val="8"/>
      </w:numPr>
    </w:pPr>
  </w:style>
  <w:style w:type="paragraph" w:customStyle="1" w:styleId="RowHeading">
    <w:name w:val="RowHeading"/>
    <w:basedOn w:val="TableText"/>
    <w:uiPriority w:val="5"/>
    <w:qFormat/>
    <w:rsid w:val="00FB6C47"/>
    <w:rPr>
      <w:b/>
      <w:color w:val="auto"/>
    </w:rPr>
  </w:style>
  <w:style w:type="paragraph" w:customStyle="1" w:styleId="ColumnHeading">
    <w:name w:val="ColumnHeading"/>
    <w:basedOn w:val="TableText"/>
    <w:uiPriority w:val="5"/>
    <w:qFormat/>
    <w:rsid w:val="00786A8D"/>
    <w:pPr>
      <w:spacing w:after="0" w:line="180" w:lineRule="atLeast"/>
    </w:pPr>
    <w:rPr>
      <w:b/>
      <w:caps/>
      <w:color w:val="FFFFFF"/>
      <w:sz w:val="16"/>
    </w:rPr>
  </w:style>
  <w:style w:type="paragraph" w:customStyle="1" w:styleId="CoverSubtitle">
    <w:name w:val="CoverSubtitle"/>
    <w:basedOn w:val="Normal"/>
    <w:uiPriority w:val="12"/>
    <w:qFormat/>
    <w:rsid w:val="00DB55B9"/>
    <w:pPr>
      <w:numPr>
        <w:ilvl w:val="1"/>
      </w:numPr>
      <w:spacing w:after="170" w:line="340" w:lineRule="atLeast"/>
    </w:pPr>
    <w:rPr>
      <w:rFonts w:eastAsia="Times New Roman"/>
      <w:iCs/>
      <w:color w:val="004B87"/>
      <w:spacing w:val="15"/>
      <w:sz w:val="34"/>
      <w:szCs w:val="24"/>
    </w:rPr>
  </w:style>
  <w:style w:type="paragraph" w:customStyle="1" w:styleId="BackCoverContactHeading">
    <w:name w:val="BackCover ContactHeading"/>
    <w:basedOn w:val="Normal"/>
    <w:uiPriority w:val="18"/>
    <w:qFormat/>
    <w:rsid w:val="00840B15"/>
    <w:pPr>
      <w:spacing w:before="360" w:after="60"/>
    </w:pPr>
    <w:rPr>
      <w:caps/>
      <w:sz w:val="18"/>
      <w:szCs w:val="20"/>
    </w:rPr>
  </w:style>
  <w:style w:type="paragraph" w:customStyle="1" w:styleId="BackCoverContactDetails">
    <w:name w:val="BackCover ContactDetails"/>
    <w:basedOn w:val="Normal"/>
    <w:uiPriority w:val="18"/>
    <w:qFormat/>
    <w:rsid w:val="00840B15"/>
    <w:pPr>
      <w:tabs>
        <w:tab w:val="left" w:pos="199"/>
      </w:tabs>
      <w:spacing w:after="0"/>
    </w:pPr>
    <w:rPr>
      <w:sz w:val="18"/>
    </w:rPr>
  </w:style>
  <w:style w:type="character" w:customStyle="1" w:styleId="BackCoverContactBold">
    <w:name w:val="BackCover ContactBold"/>
    <w:basedOn w:val="DefaultParagraphFont"/>
    <w:uiPriority w:val="18"/>
    <w:qFormat/>
    <w:rsid w:val="00840B15"/>
    <w:rPr>
      <w:rFonts w:cs="Times New Roman"/>
      <w:b/>
    </w:rPr>
  </w:style>
  <w:style w:type="paragraph" w:styleId="TOCHeading">
    <w:name w:val="TOC Heading"/>
    <w:basedOn w:val="Heading1"/>
    <w:next w:val="Normal"/>
    <w:link w:val="TOCHeadingChar"/>
    <w:uiPriority w:val="19"/>
    <w:qFormat/>
    <w:rsid w:val="00462182"/>
    <w:pPr>
      <w:pageBreakBefore w:val="0"/>
      <w:numPr>
        <w:numId w:val="0"/>
      </w:numPr>
      <w:tabs>
        <w:tab w:val="clear" w:pos="851"/>
      </w:tabs>
      <w:spacing w:before="480" w:after="240"/>
      <w:outlineLvl w:val="1"/>
    </w:pPr>
    <w:rPr>
      <w:bCs w:val="0"/>
    </w:rPr>
  </w:style>
  <w:style w:type="character" w:styleId="Hyperlink">
    <w:name w:val="Hyperlink"/>
    <w:basedOn w:val="DefaultParagraphFont"/>
    <w:uiPriority w:val="99"/>
    <w:qFormat/>
    <w:rsid w:val="00A14107"/>
    <w:rPr>
      <w:rFonts w:cs="Times New Roman"/>
      <w:color w:val="41B6E6"/>
      <w:u w:val="none"/>
    </w:rPr>
  </w:style>
  <w:style w:type="paragraph" w:styleId="TOC4">
    <w:name w:val="toc 4"/>
    <w:basedOn w:val="Normal"/>
    <w:next w:val="Normal"/>
    <w:autoRedefine/>
    <w:uiPriority w:val="99"/>
    <w:semiHidden/>
    <w:rsid w:val="00FE3F4D"/>
    <w:pPr>
      <w:spacing w:after="100"/>
      <w:ind w:left="660"/>
    </w:pPr>
  </w:style>
  <w:style w:type="paragraph" w:styleId="TOC9">
    <w:name w:val="toc 9"/>
    <w:basedOn w:val="Normal"/>
    <w:next w:val="Normal"/>
    <w:autoRedefine/>
    <w:uiPriority w:val="99"/>
    <w:semiHidden/>
    <w:rsid w:val="00FE3F4D"/>
    <w:pPr>
      <w:spacing w:after="100"/>
      <w:ind w:left="1760"/>
    </w:pPr>
  </w:style>
  <w:style w:type="character" w:customStyle="1" w:styleId="BalloonTextChar">
    <w:name w:val="Balloon Text Char"/>
    <w:basedOn w:val="DefaultParagraphFont"/>
    <w:link w:val="BalloonText"/>
    <w:uiPriority w:val="99"/>
    <w:semiHidden/>
    <w:rsid w:val="00DB55B9"/>
    <w:rPr>
      <w:rFonts w:ascii="Tahoma" w:eastAsia="Calibri" w:hAnsi="Tahoma" w:cs="Tahoma"/>
      <w:color w:val="000000"/>
      <w:sz w:val="16"/>
      <w:szCs w:val="16"/>
    </w:rPr>
  </w:style>
  <w:style w:type="paragraph" w:styleId="Caption">
    <w:name w:val="caption"/>
    <w:basedOn w:val="Normal"/>
    <w:next w:val="Normal"/>
    <w:uiPriority w:val="4"/>
    <w:qFormat/>
    <w:rsid w:val="007E4B05"/>
    <w:pPr>
      <w:keepNext/>
      <w:spacing w:before="240" w:after="200"/>
    </w:pPr>
    <w:rPr>
      <w:b/>
      <w:bCs/>
      <w:color w:val="41B6E6"/>
      <w:sz w:val="20"/>
      <w:szCs w:val="18"/>
    </w:rPr>
  </w:style>
  <w:style w:type="paragraph" w:customStyle="1" w:styleId="Headerurl">
    <w:name w:val="Header url"/>
    <w:basedOn w:val="Header"/>
    <w:uiPriority w:val="99"/>
    <w:semiHidden/>
    <w:rsid w:val="00944443"/>
    <w:pPr>
      <w:tabs>
        <w:tab w:val="center" w:pos="4153"/>
        <w:tab w:val="right" w:pos="8306"/>
      </w:tabs>
      <w:spacing w:after="0"/>
    </w:pPr>
    <w:rPr>
      <w:b/>
      <w:color w:val="00313C"/>
      <w:szCs w:val="24"/>
    </w:rPr>
  </w:style>
  <w:style w:type="character" w:customStyle="1" w:styleId="PartNumber">
    <w:name w:val="PartNumber"/>
    <w:basedOn w:val="DefaultParagraphFont"/>
    <w:uiPriority w:val="15"/>
    <w:qFormat/>
    <w:rsid w:val="00A14107"/>
    <w:rPr>
      <w:rFonts w:cs="Times New Roman"/>
      <w:color w:val="41B6E6"/>
    </w:rPr>
  </w:style>
  <w:style w:type="paragraph" w:customStyle="1" w:styleId="Heading1notnumbered">
    <w:name w:val="Heading 1 not numbered"/>
    <w:basedOn w:val="Heading1"/>
    <w:uiPriority w:val="1"/>
    <w:rsid w:val="009A20E5"/>
    <w:pPr>
      <w:numPr>
        <w:numId w:val="0"/>
      </w:numPr>
    </w:pPr>
  </w:style>
  <w:style w:type="paragraph" w:customStyle="1" w:styleId="Heading3notnumbered">
    <w:name w:val="Heading 3 not numbered"/>
    <w:basedOn w:val="Heading3"/>
    <w:uiPriority w:val="1"/>
    <w:qFormat/>
    <w:rsid w:val="00752314"/>
    <w:pPr>
      <w:numPr>
        <w:ilvl w:val="0"/>
        <w:numId w:val="0"/>
      </w:numPr>
    </w:pPr>
  </w:style>
  <w:style w:type="paragraph" w:customStyle="1" w:styleId="Heading2notnumbered">
    <w:name w:val="Heading 2 not numbered"/>
    <w:basedOn w:val="Heading2"/>
    <w:uiPriority w:val="1"/>
    <w:qFormat/>
    <w:rsid w:val="00752314"/>
    <w:pPr>
      <w:numPr>
        <w:ilvl w:val="0"/>
        <w:numId w:val="0"/>
      </w:numPr>
    </w:pPr>
  </w:style>
  <w:style w:type="paragraph" w:customStyle="1" w:styleId="Heading1noTOC">
    <w:name w:val="Heading 1 no TOC"/>
    <w:basedOn w:val="Heading1notnumbered"/>
    <w:uiPriority w:val="1"/>
    <w:qFormat/>
    <w:rsid w:val="00F91888"/>
  </w:style>
  <w:style w:type="character" w:customStyle="1" w:styleId="TOCHeadingChar">
    <w:name w:val="TOC Heading Char"/>
    <w:basedOn w:val="DefaultParagraphFont"/>
    <w:link w:val="TOCHeading"/>
    <w:uiPriority w:val="19"/>
    <w:semiHidden/>
    <w:locked/>
    <w:rsid w:val="00DB55B9"/>
    <w:rPr>
      <w:rFonts w:eastAsia="Times New Roman" w:cs="Times New Roman"/>
      <w:b/>
      <w:color w:val="41B6E6"/>
      <w:sz w:val="44"/>
      <w:szCs w:val="28"/>
    </w:rPr>
  </w:style>
  <w:style w:type="paragraph" w:styleId="BlockText">
    <w:name w:val="Block Text"/>
    <w:basedOn w:val="Normal"/>
    <w:uiPriority w:val="99"/>
    <w:semiHidden/>
    <w:locked/>
    <w:rsid w:val="00E251B6"/>
    <w:pPr>
      <w:ind w:left="1440" w:right="1440"/>
    </w:pPr>
  </w:style>
  <w:style w:type="paragraph" w:styleId="BodyText">
    <w:name w:val="Body Text"/>
    <w:basedOn w:val="Normal"/>
    <w:link w:val="BodyTextChar"/>
    <w:uiPriority w:val="99"/>
    <w:semiHidden/>
    <w:locked/>
    <w:rsid w:val="00E251B6"/>
  </w:style>
  <w:style w:type="character" w:customStyle="1" w:styleId="BodyTextChar">
    <w:name w:val="Body Text Char"/>
    <w:basedOn w:val="DefaultParagraphFont"/>
    <w:link w:val="BodyText"/>
    <w:uiPriority w:val="99"/>
    <w:semiHidden/>
    <w:locked/>
    <w:rsid w:val="00DB55B9"/>
    <w:rPr>
      <w:rFonts w:eastAsia="Calibri"/>
      <w:color w:val="000000"/>
    </w:rPr>
  </w:style>
  <w:style w:type="paragraph" w:styleId="BodyText2">
    <w:name w:val="Body Text 2"/>
    <w:basedOn w:val="Normal"/>
    <w:link w:val="BodyText2Char"/>
    <w:uiPriority w:val="99"/>
    <w:semiHidden/>
    <w:locked/>
    <w:rsid w:val="00E251B6"/>
    <w:pPr>
      <w:spacing w:line="480" w:lineRule="auto"/>
    </w:pPr>
  </w:style>
  <w:style w:type="character" w:customStyle="1" w:styleId="BodyText2Char">
    <w:name w:val="Body Text 2 Char"/>
    <w:basedOn w:val="DefaultParagraphFont"/>
    <w:link w:val="BodyText2"/>
    <w:uiPriority w:val="99"/>
    <w:semiHidden/>
    <w:locked/>
    <w:rsid w:val="00DB55B9"/>
    <w:rPr>
      <w:rFonts w:eastAsia="Calibri"/>
      <w:color w:val="000000"/>
    </w:rPr>
  </w:style>
  <w:style w:type="paragraph" w:styleId="BodyText3">
    <w:name w:val="Body Text 3"/>
    <w:basedOn w:val="Normal"/>
    <w:link w:val="BodyText3Char"/>
    <w:uiPriority w:val="99"/>
    <w:semiHidden/>
    <w:locked/>
    <w:rsid w:val="00E251B6"/>
    <w:rPr>
      <w:sz w:val="16"/>
      <w:szCs w:val="16"/>
    </w:rPr>
  </w:style>
  <w:style w:type="character" w:customStyle="1" w:styleId="BodyText3Char">
    <w:name w:val="Body Text 3 Char"/>
    <w:basedOn w:val="DefaultParagraphFont"/>
    <w:link w:val="BodyText3"/>
    <w:uiPriority w:val="99"/>
    <w:semiHidden/>
    <w:locked/>
    <w:rsid w:val="00DB55B9"/>
    <w:rPr>
      <w:rFonts w:eastAsia="Calibri"/>
      <w:color w:val="000000"/>
      <w:sz w:val="16"/>
      <w:szCs w:val="16"/>
    </w:rPr>
  </w:style>
  <w:style w:type="paragraph" w:styleId="BodyTextFirstIndent">
    <w:name w:val="Body Text First Indent"/>
    <w:basedOn w:val="BodyText"/>
    <w:link w:val="BodyTextFirstIndentChar"/>
    <w:uiPriority w:val="99"/>
    <w:semiHidden/>
    <w:locked/>
    <w:rsid w:val="00E251B6"/>
    <w:pPr>
      <w:ind w:firstLine="210"/>
    </w:pPr>
  </w:style>
  <w:style w:type="character" w:customStyle="1" w:styleId="BodyTextFirstIndentChar">
    <w:name w:val="Body Text First Indent Char"/>
    <w:basedOn w:val="BodyTextChar"/>
    <w:link w:val="BodyTextFirstIndent"/>
    <w:uiPriority w:val="99"/>
    <w:semiHidden/>
    <w:locked/>
    <w:rsid w:val="00DB55B9"/>
  </w:style>
  <w:style w:type="paragraph" w:styleId="BodyTextIndent">
    <w:name w:val="Body Text Indent"/>
    <w:basedOn w:val="Normal"/>
    <w:link w:val="BodyTextIndentChar"/>
    <w:uiPriority w:val="99"/>
    <w:semiHidden/>
    <w:locked/>
    <w:rsid w:val="00E251B6"/>
    <w:pPr>
      <w:ind w:left="283"/>
    </w:pPr>
  </w:style>
  <w:style w:type="character" w:customStyle="1" w:styleId="BodyTextIndentChar">
    <w:name w:val="Body Text Indent Char"/>
    <w:basedOn w:val="DefaultParagraphFont"/>
    <w:link w:val="BodyTextIndent"/>
    <w:uiPriority w:val="99"/>
    <w:semiHidden/>
    <w:locked/>
    <w:rsid w:val="00DB55B9"/>
    <w:rPr>
      <w:rFonts w:eastAsia="Calibri"/>
      <w:color w:val="000000"/>
    </w:rPr>
  </w:style>
  <w:style w:type="paragraph" w:styleId="BodyTextFirstIndent2">
    <w:name w:val="Body Text First Indent 2"/>
    <w:basedOn w:val="BodyTextIndent"/>
    <w:link w:val="BodyTextFirstIndent2Char"/>
    <w:uiPriority w:val="99"/>
    <w:semiHidden/>
    <w:locked/>
    <w:rsid w:val="00E251B6"/>
    <w:pPr>
      <w:ind w:firstLine="210"/>
    </w:pPr>
  </w:style>
  <w:style w:type="character" w:customStyle="1" w:styleId="BodyTextFirstIndent2Char">
    <w:name w:val="Body Text First Indent 2 Char"/>
    <w:basedOn w:val="BodyTextIndentChar"/>
    <w:link w:val="BodyTextFirstIndent2"/>
    <w:uiPriority w:val="99"/>
    <w:semiHidden/>
    <w:locked/>
    <w:rsid w:val="00DB55B9"/>
    <w:rPr>
      <w:rFonts w:eastAsia="Calibri"/>
    </w:rPr>
  </w:style>
  <w:style w:type="paragraph" w:styleId="BodyTextIndent2">
    <w:name w:val="Body Text Indent 2"/>
    <w:basedOn w:val="Normal"/>
    <w:link w:val="BodyTextIndent2Char"/>
    <w:uiPriority w:val="99"/>
    <w:semiHidden/>
    <w:locked/>
    <w:rsid w:val="00E251B6"/>
    <w:pPr>
      <w:spacing w:line="480" w:lineRule="auto"/>
      <w:ind w:left="283"/>
    </w:pPr>
  </w:style>
  <w:style w:type="character" w:customStyle="1" w:styleId="BodyTextIndent2Char">
    <w:name w:val="Body Text Indent 2 Char"/>
    <w:basedOn w:val="DefaultParagraphFont"/>
    <w:link w:val="BodyTextIndent2"/>
    <w:uiPriority w:val="99"/>
    <w:semiHidden/>
    <w:locked/>
    <w:rsid w:val="00DB55B9"/>
    <w:rPr>
      <w:rFonts w:eastAsia="Calibri"/>
      <w:color w:val="000000"/>
    </w:rPr>
  </w:style>
  <w:style w:type="paragraph" w:styleId="BodyTextIndent3">
    <w:name w:val="Body Text Indent 3"/>
    <w:basedOn w:val="Normal"/>
    <w:link w:val="BodyTextIndent3Char"/>
    <w:uiPriority w:val="99"/>
    <w:semiHidden/>
    <w:locked/>
    <w:rsid w:val="00E251B6"/>
    <w:pPr>
      <w:ind w:left="283"/>
    </w:pPr>
    <w:rPr>
      <w:sz w:val="16"/>
      <w:szCs w:val="16"/>
    </w:rPr>
  </w:style>
  <w:style w:type="character" w:customStyle="1" w:styleId="BodyTextIndent3Char">
    <w:name w:val="Body Text Indent 3 Char"/>
    <w:basedOn w:val="DefaultParagraphFont"/>
    <w:link w:val="BodyTextIndent3"/>
    <w:uiPriority w:val="99"/>
    <w:semiHidden/>
    <w:locked/>
    <w:rsid w:val="00DB55B9"/>
    <w:rPr>
      <w:rFonts w:eastAsia="Calibri"/>
      <w:color w:val="000000"/>
      <w:sz w:val="16"/>
      <w:szCs w:val="16"/>
    </w:rPr>
  </w:style>
  <w:style w:type="paragraph" w:styleId="Closing">
    <w:name w:val="Closing"/>
    <w:basedOn w:val="Normal"/>
    <w:link w:val="ClosingChar"/>
    <w:uiPriority w:val="99"/>
    <w:semiHidden/>
    <w:locked/>
    <w:rsid w:val="00E251B6"/>
    <w:pPr>
      <w:ind w:left="4252"/>
    </w:pPr>
  </w:style>
  <w:style w:type="character" w:customStyle="1" w:styleId="ClosingChar">
    <w:name w:val="Closing Char"/>
    <w:basedOn w:val="DefaultParagraphFont"/>
    <w:link w:val="Closing"/>
    <w:uiPriority w:val="99"/>
    <w:semiHidden/>
    <w:locked/>
    <w:rsid w:val="00DB55B9"/>
    <w:rPr>
      <w:rFonts w:eastAsia="Calibri"/>
      <w:color w:val="000000"/>
    </w:rPr>
  </w:style>
  <w:style w:type="paragraph" w:styleId="Date">
    <w:name w:val="Date"/>
    <w:basedOn w:val="Normal"/>
    <w:next w:val="Normal"/>
    <w:link w:val="DateChar"/>
    <w:uiPriority w:val="99"/>
    <w:semiHidden/>
    <w:locked/>
    <w:rsid w:val="00E251B6"/>
  </w:style>
  <w:style w:type="character" w:customStyle="1" w:styleId="DateChar">
    <w:name w:val="Date Char"/>
    <w:basedOn w:val="DefaultParagraphFont"/>
    <w:link w:val="Date"/>
    <w:uiPriority w:val="99"/>
    <w:semiHidden/>
    <w:locked/>
    <w:rsid w:val="00DB55B9"/>
    <w:rPr>
      <w:rFonts w:eastAsia="Calibri"/>
      <w:color w:val="000000"/>
    </w:rPr>
  </w:style>
  <w:style w:type="paragraph" w:styleId="E-mailSignature">
    <w:name w:val="E-mail Signature"/>
    <w:basedOn w:val="Normal"/>
    <w:link w:val="E-mailSignatureChar"/>
    <w:uiPriority w:val="99"/>
    <w:semiHidden/>
    <w:locked/>
    <w:rsid w:val="00E251B6"/>
  </w:style>
  <w:style w:type="character" w:customStyle="1" w:styleId="E-mailSignatureChar">
    <w:name w:val="E-mail Signature Char"/>
    <w:basedOn w:val="DefaultParagraphFont"/>
    <w:link w:val="E-mailSignature"/>
    <w:uiPriority w:val="99"/>
    <w:semiHidden/>
    <w:locked/>
    <w:rsid w:val="00DB55B9"/>
    <w:rPr>
      <w:rFonts w:eastAsia="Calibri"/>
      <w:color w:val="000000"/>
    </w:rPr>
  </w:style>
  <w:style w:type="character" w:styleId="Emphasis">
    <w:name w:val="Emphasis"/>
    <w:basedOn w:val="DefaultParagraphFont"/>
    <w:uiPriority w:val="20"/>
    <w:qFormat/>
    <w:locked/>
    <w:rsid w:val="001249CC"/>
    <w:rPr>
      <w:rFonts w:cs="Times New Roman"/>
      <w:i/>
      <w:iCs/>
    </w:rPr>
  </w:style>
  <w:style w:type="paragraph" w:styleId="EnvelopeAddress">
    <w:name w:val="envelope address"/>
    <w:basedOn w:val="Normal"/>
    <w:uiPriority w:val="99"/>
    <w:semiHidden/>
    <w:locked/>
    <w:rsid w:val="00E251B6"/>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uiPriority w:val="99"/>
    <w:semiHidden/>
    <w:locked/>
    <w:rsid w:val="00E251B6"/>
    <w:rPr>
      <w:rFonts w:ascii="Arial" w:hAnsi="Arial" w:cs="Arial"/>
      <w:sz w:val="20"/>
      <w:szCs w:val="20"/>
    </w:rPr>
  </w:style>
  <w:style w:type="character" w:styleId="FollowedHyperlink">
    <w:name w:val="FollowedHyperlink"/>
    <w:basedOn w:val="DefaultParagraphFont"/>
    <w:uiPriority w:val="99"/>
    <w:semiHidden/>
    <w:locked/>
    <w:rsid w:val="003D6565"/>
    <w:rPr>
      <w:rFonts w:cs="Times New Roman"/>
      <w:color w:val="auto"/>
      <w:u w:val="none"/>
    </w:rPr>
  </w:style>
  <w:style w:type="character" w:styleId="FootnoteReference">
    <w:name w:val="footnote reference"/>
    <w:basedOn w:val="DefaultParagraphFont"/>
    <w:uiPriority w:val="99"/>
    <w:locked/>
    <w:rsid w:val="00E251B6"/>
    <w:rPr>
      <w:rFonts w:cs="Times New Roman"/>
      <w:vertAlign w:val="superscript"/>
    </w:rPr>
  </w:style>
  <w:style w:type="character" w:styleId="HTMLAcronym">
    <w:name w:val="HTML Acronym"/>
    <w:basedOn w:val="DefaultParagraphFont"/>
    <w:uiPriority w:val="99"/>
    <w:semiHidden/>
    <w:locked/>
    <w:rsid w:val="00E251B6"/>
    <w:rPr>
      <w:rFonts w:cs="Times New Roman"/>
    </w:rPr>
  </w:style>
  <w:style w:type="paragraph" w:styleId="HTMLAddress">
    <w:name w:val="HTML Address"/>
    <w:basedOn w:val="Normal"/>
    <w:link w:val="HTMLAddressChar"/>
    <w:uiPriority w:val="99"/>
    <w:semiHidden/>
    <w:locked/>
    <w:rsid w:val="00E251B6"/>
    <w:rPr>
      <w:i/>
      <w:iCs/>
    </w:rPr>
  </w:style>
  <w:style w:type="character" w:customStyle="1" w:styleId="HTMLAddressChar">
    <w:name w:val="HTML Address Char"/>
    <w:basedOn w:val="DefaultParagraphFont"/>
    <w:link w:val="HTMLAddress"/>
    <w:uiPriority w:val="99"/>
    <w:semiHidden/>
    <w:locked/>
    <w:rsid w:val="00DB55B9"/>
    <w:rPr>
      <w:rFonts w:eastAsia="Calibri"/>
      <w:i/>
      <w:iCs/>
      <w:color w:val="000000"/>
    </w:rPr>
  </w:style>
  <w:style w:type="character" w:styleId="HTMLCite">
    <w:name w:val="HTML Cite"/>
    <w:basedOn w:val="DefaultParagraphFont"/>
    <w:uiPriority w:val="99"/>
    <w:semiHidden/>
    <w:locked/>
    <w:rsid w:val="00E251B6"/>
    <w:rPr>
      <w:rFonts w:cs="Times New Roman"/>
      <w:i/>
      <w:iCs/>
    </w:rPr>
  </w:style>
  <w:style w:type="character" w:styleId="HTMLCode">
    <w:name w:val="HTML Code"/>
    <w:basedOn w:val="DefaultParagraphFont"/>
    <w:uiPriority w:val="99"/>
    <w:semiHidden/>
    <w:locked/>
    <w:rsid w:val="00E251B6"/>
    <w:rPr>
      <w:rFonts w:ascii="Courier New" w:hAnsi="Courier New" w:cs="Courier New"/>
      <w:sz w:val="20"/>
      <w:szCs w:val="20"/>
    </w:rPr>
  </w:style>
  <w:style w:type="character" w:styleId="HTMLDefinition">
    <w:name w:val="HTML Definition"/>
    <w:basedOn w:val="DefaultParagraphFont"/>
    <w:uiPriority w:val="99"/>
    <w:semiHidden/>
    <w:locked/>
    <w:rsid w:val="00E251B6"/>
    <w:rPr>
      <w:rFonts w:cs="Times New Roman"/>
      <w:i/>
      <w:iCs/>
    </w:rPr>
  </w:style>
  <w:style w:type="character" w:styleId="HTMLKeyboard">
    <w:name w:val="HTML Keyboard"/>
    <w:basedOn w:val="DefaultParagraphFont"/>
    <w:uiPriority w:val="99"/>
    <w:semiHidden/>
    <w:locked/>
    <w:rsid w:val="00E251B6"/>
    <w:rPr>
      <w:rFonts w:ascii="Courier New" w:hAnsi="Courier New" w:cs="Courier New"/>
      <w:sz w:val="20"/>
      <w:szCs w:val="20"/>
    </w:rPr>
  </w:style>
  <w:style w:type="paragraph" w:styleId="HTMLPreformatted">
    <w:name w:val="HTML Preformatted"/>
    <w:basedOn w:val="Normal"/>
    <w:link w:val="HTMLPreformattedChar"/>
    <w:uiPriority w:val="99"/>
    <w:semiHidden/>
    <w:locked/>
    <w:rsid w:val="00E251B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locked/>
    <w:rsid w:val="00DB55B9"/>
    <w:rPr>
      <w:rFonts w:ascii="Courier New" w:eastAsia="Calibri" w:hAnsi="Courier New" w:cs="Courier New"/>
      <w:color w:val="000000"/>
      <w:sz w:val="20"/>
      <w:szCs w:val="20"/>
    </w:rPr>
  </w:style>
  <w:style w:type="character" w:styleId="HTMLSample">
    <w:name w:val="HTML Sample"/>
    <w:basedOn w:val="DefaultParagraphFont"/>
    <w:uiPriority w:val="99"/>
    <w:semiHidden/>
    <w:locked/>
    <w:rsid w:val="00E251B6"/>
    <w:rPr>
      <w:rFonts w:ascii="Courier New" w:hAnsi="Courier New" w:cs="Courier New"/>
    </w:rPr>
  </w:style>
  <w:style w:type="character" w:styleId="HTMLTypewriter">
    <w:name w:val="HTML Typewriter"/>
    <w:basedOn w:val="DefaultParagraphFont"/>
    <w:uiPriority w:val="99"/>
    <w:semiHidden/>
    <w:locked/>
    <w:rsid w:val="00E251B6"/>
    <w:rPr>
      <w:rFonts w:ascii="Courier New" w:hAnsi="Courier New" w:cs="Courier New"/>
      <w:sz w:val="20"/>
      <w:szCs w:val="20"/>
    </w:rPr>
  </w:style>
  <w:style w:type="character" w:styleId="HTMLVariable">
    <w:name w:val="HTML Variable"/>
    <w:basedOn w:val="DefaultParagraphFont"/>
    <w:uiPriority w:val="99"/>
    <w:semiHidden/>
    <w:locked/>
    <w:rsid w:val="00E251B6"/>
    <w:rPr>
      <w:rFonts w:cs="Times New Roman"/>
      <w:i/>
      <w:iCs/>
    </w:rPr>
  </w:style>
  <w:style w:type="character" w:styleId="LineNumber">
    <w:name w:val="line number"/>
    <w:basedOn w:val="DefaultParagraphFont"/>
    <w:uiPriority w:val="99"/>
    <w:semiHidden/>
    <w:locked/>
    <w:rsid w:val="00E251B6"/>
    <w:rPr>
      <w:rFonts w:cs="Times New Roman"/>
    </w:rPr>
  </w:style>
  <w:style w:type="paragraph" w:styleId="List">
    <w:name w:val="List"/>
    <w:basedOn w:val="Normal"/>
    <w:uiPriority w:val="99"/>
    <w:semiHidden/>
    <w:locked/>
    <w:rsid w:val="00E251B6"/>
    <w:pPr>
      <w:ind w:left="283" w:hanging="283"/>
    </w:pPr>
  </w:style>
  <w:style w:type="paragraph" w:styleId="List2">
    <w:name w:val="List 2"/>
    <w:basedOn w:val="Normal"/>
    <w:uiPriority w:val="99"/>
    <w:semiHidden/>
    <w:locked/>
    <w:rsid w:val="00E251B6"/>
    <w:pPr>
      <w:ind w:left="566" w:hanging="283"/>
    </w:pPr>
  </w:style>
  <w:style w:type="paragraph" w:styleId="List3">
    <w:name w:val="List 3"/>
    <w:basedOn w:val="Normal"/>
    <w:uiPriority w:val="99"/>
    <w:semiHidden/>
    <w:locked/>
    <w:rsid w:val="00E251B6"/>
    <w:pPr>
      <w:ind w:left="849" w:hanging="283"/>
    </w:pPr>
  </w:style>
  <w:style w:type="paragraph" w:styleId="List4">
    <w:name w:val="List 4"/>
    <w:basedOn w:val="Normal"/>
    <w:uiPriority w:val="99"/>
    <w:semiHidden/>
    <w:locked/>
    <w:rsid w:val="00E251B6"/>
    <w:pPr>
      <w:ind w:left="1132" w:hanging="283"/>
    </w:pPr>
  </w:style>
  <w:style w:type="paragraph" w:styleId="List5">
    <w:name w:val="List 5"/>
    <w:basedOn w:val="Normal"/>
    <w:uiPriority w:val="99"/>
    <w:semiHidden/>
    <w:locked/>
    <w:rsid w:val="00E251B6"/>
    <w:pPr>
      <w:ind w:left="1415" w:hanging="283"/>
    </w:pPr>
  </w:style>
  <w:style w:type="paragraph" w:styleId="ListBullet4">
    <w:name w:val="List Bullet 4"/>
    <w:basedOn w:val="Normal"/>
    <w:uiPriority w:val="99"/>
    <w:semiHidden/>
    <w:locked/>
    <w:rsid w:val="00E251B6"/>
    <w:pPr>
      <w:numPr>
        <w:numId w:val="1"/>
      </w:numPr>
      <w:tabs>
        <w:tab w:val="num" w:pos="1209"/>
      </w:tabs>
      <w:ind w:left="1209"/>
    </w:pPr>
  </w:style>
  <w:style w:type="paragraph" w:styleId="ListBullet5">
    <w:name w:val="List Bullet 5"/>
    <w:basedOn w:val="Normal"/>
    <w:uiPriority w:val="99"/>
    <w:semiHidden/>
    <w:locked/>
    <w:rsid w:val="00E251B6"/>
    <w:pPr>
      <w:numPr>
        <w:numId w:val="2"/>
      </w:numPr>
      <w:tabs>
        <w:tab w:val="num" w:pos="926"/>
        <w:tab w:val="num" w:pos="1492"/>
      </w:tabs>
      <w:ind w:left="1492"/>
    </w:pPr>
  </w:style>
  <w:style w:type="paragraph" w:styleId="ListContinue">
    <w:name w:val="List Continue"/>
    <w:basedOn w:val="Normal"/>
    <w:uiPriority w:val="99"/>
    <w:semiHidden/>
    <w:locked/>
    <w:rsid w:val="00E251B6"/>
    <w:pPr>
      <w:ind w:left="283"/>
    </w:pPr>
  </w:style>
  <w:style w:type="paragraph" w:styleId="ListContinue2">
    <w:name w:val="List Continue 2"/>
    <w:basedOn w:val="Normal"/>
    <w:uiPriority w:val="99"/>
    <w:semiHidden/>
    <w:locked/>
    <w:rsid w:val="00E251B6"/>
    <w:pPr>
      <w:ind w:left="566"/>
    </w:pPr>
  </w:style>
  <w:style w:type="paragraph" w:styleId="ListContinue3">
    <w:name w:val="List Continue 3"/>
    <w:basedOn w:val="Normal"/>
    <w:uiPriority w:val="99"/>
    <w:semiHidden/>
    <w:locked/>
    <w:rsid w:val="00E251B6"/>
    <w:pPr>
      <w:ind w:left="849"/>
    </w:pPr>
  </w:style>
  <w:style w:type="paragraph" w:styleId="ListContinue4">
    <w:name w:val="List Continue 4"/>
    <w:basedOn w:val="Normal"/>
    <w:uiPriority w:val="99"/>
    <w:semiHidden/>
    <w:locked/>
    <w:rsid w:val="00E251B6"/>
    <w:pPr>
      <w:ind w:left="1132"/>
    </w:pPr>
  </w:style>
  <w:style w:type="paragraph" w:styleId="ListContinue5">
    <w:name w:val="List Continue 5"/>
    <w:basedOn w:val="Normal"/>
    <w:uiPriority w:val="99"/>
    <w:semiHidden/>
    <w:locked/>
    <w:rsid w:val="00E251B6"/>
    <w:pPr>
      <w:ind w:left="1415"/>
    </w:pPr>
  </w:style>
  <w:style w:type="paragraph" w:styleId="ListNumber3">
    <w:name w:val="List Number 3"/>
    <w:basedOn w:val="Normal"/>
    <w:uiPriority w:val="99"/>
    <w:semiHidden/>
    <w:locked/>
    <w:rsid w:val="00E251B6"/>
    <w:pPr>
      <w:numPr>
        <w:numId w:val="3"/>
      </w:numPr>
    </w:pPr>
  </w:style>
  <w:style w:type="paragraph" w:styleId="ListNumber4">
    <w:name w:val="List Number 4"/>
    <w:basedOn w:val="Normal"/>
    <w:uiPriority w:val="99"/>
    <w:semiHidden/>
    <w:locked/>
    <w:rsid w:val="00E251B6"/>
    <w:pPr>
      <w:numPr>
        <w:numId w:val="4"/>
      </w:numPr>
    </w:pPr>
  </w:style>
  <w:style w:type="paragraph" w:styleId="ListNumber5">
    <w:name w:val="List Number 5"/>
    <w:basedOn w:val="Normal"/>
    <w:uiPriority w:val="99"/>
    <w:semiHidden/>
    <w:locked/>
    <w:rsid w:val="00E251B6"/>
    <w:pPr>
      <w:numPr>
        <w:numId w:val="5"/>
      </w:numPr>
    </w:pPr>
  </w:style>
  <w:style w:type="paragraph" w:styleId="MessageHeader">
    <w:name w:val="Message Header"/>
    <w:basedOn w:val="Normal"/>
    <w:link w:val="MessageHeaderChar"/>
    <w:uiPriority w:val="99"/>
    <w:semiHidden/>
    <w:locked/>
    <w:rsid w:val="00E251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uiPriority w:val="99"/>
    <w:semiHidden/>
    <w:locked/>
    <w:rsid w:val="00DB55B9"/>
    <w:rPr>
      <w:rFonts w:ascii="Arial" w:eastAsia="Calibri" w:hAnsi="Arial" w:cs="Arial"/>
      <w:color w:val="000000"/>
      <w:sz w:val="24"/>
      <w:szCs w:val="24"/>
      <w:shd w:val="pct20" w:color="auto" w:fill="auto"/>
    </w:rPr>
  </w:style>
  <w:style w:type="paragraph" w:styleId="NormalWeb">
    <w:name w:val="Normal (Web)"/>
    <w:basedOn w:val="Normal"/>
    <w:uiPriority w:val="99"/>
    <w:locked/>
    <w:rsid w:val="00E251B6"/>
    <w:rPr>
      <w:rFonts w:ascii="Times New Roman" w:hAnsi="Times New Roman"/>
      <w:sz w:val="24"/>
      <w:szCs w:val="24"/>
    </w:rPr>
  </w:style>
  <w:style w:type="paragraph" w:styleId="NormalIndent">
    <w:name w:val="Normal Indent"/>
    <w:basedOn w:val="Normal"/>
    <w:uiPriority w:val="99"/>
    <w:semiHidden/>
    <w:locked/>
    <w:rsid w:val="00E251B6"/>
    <w:pPr>
      <w:ind w:left="720"/>
    </w:pPr>
  </w:style>
  <w:style w:type="paragraph" w:styleId="NoteHeading">
    <w:name w:val="Note Heading"/>
    <w:basedOn w:val="Normal"/>
    <w:next w:val="Normal"/>
    <w:link w:val="NoteHeadingChar"/>
    <w:uiPriority w:val="99"/>
    <w:semiHidden/>
    <w:locked/>
    <w:rsid w:val="00E251B6"/>
  </w:style>
  <w:style w:type="character" w:customStyle="1" w:styleId="NoteHeadingChar">
    <w:name w:val="Note Heading Char"/>
    <w:basedOn w:val="DefaultParagraphFont"/>
    <w:link w:val="NoteHeading"/>
    <w:uiPriority w:val="99"/>
    <w:semiHidden/>
    <w:locked/>
    <w:rsid w:val="00DB55B9"/>
    <w:rPr>
      <w:rFonts w:eastAsia="Calibri"/>
      <w:color w:val="000000"/>
    </w:rPr>
  </w:style>
  <w:style w:type="paragraph" w:styleId="PlainText">
    <w:name w:val="Plain Text"/>
    <w:basedOn w:val="Normal"/>
    <w:link w:val="PlainTextChar"/>
    <w:uiPriority w:val="99"/>
    <w:locked/>
    <w:rsid w:val="00E251B6"/>
    <w:rPr>
      <w:rFonts w:ascii="Courier New" w:hAnsi="Courier New" w:cs="Courier New"/>
      <w:sz w:val="20"/>
      <w:szCs w:val="20"/>
    </w:rPr>
  </w:style>
  <w:style w:type="character" w:customStyle="1" w:styleId="PlainTextChar">
    <w:name w:val="Plain Text Char"/>
    <w:basedOn w:val="DefaultParagraphFont"/>
    <w:link w:val="PlainText"/>
    <w:uiPriority w:val="99"/>
    <w:locked/>
    <w:rsid w:val="00DB55B9"/>
    <w:rPr>
      <w:rFonts w:ascii="Courier New" w:eastAsia="Calibri" w:hAnsi="Courier New" w:cs="Courier New"/>
      <w:color w:val="000000"/>
      <w:sz w:val="20"/>
      <w:szCs w:val="20"/>
    </w:rPr>
  </w:style>
  <w:style w:type="paragraph" w:styleId="Salutation">
    <w:name w:val="Salutation"/>
    <w:basedOn w:val="Normal"/>
    <w:next w:val="Normal"/>
    <w:link w:val="SalutationChar"/>
    <w:uiPriority w:val="99"/>
    <w:semiHidden/>
    <w:locked/>
    <w:rsid w:val="00E251B6"/>
  </w:style>
  <w:style w:type="character" w:customStyle="1" w:styleId="SalutationChar">
    <w:name w:val="Salutation Char"/>
    <w:basedOn w:val="DefaultParagraphFont"/>
    <w:link w:val="Salutation"/>
    <w:uiPriority w:val="99"/>
    <w:semiHidden/>
    <w:locked/>
    <w:rsid w:val="00DB55B9"/>
    <w:rPr>
      <w:rFonts w:eastAsia="Calibri"/>
      <w:color w:val="000000"/>
    </w:rPr>
  </w:style>
  <w:style w:type="paragraph" w:styleId="Signature">
    <w:name w:val="Signature"/>
    <w:basedOn w:val="Normal"/>
    <w:link w:val="SignatureChar"/>
    <w:uiPriority w:val="99"/>
    <w:semiHidden/>
    <w:locked/>
    <w:rsid w:val="00E251B6"/>
    <w:pPr>
      <w:ind w:left="4252"/>
    </w:pPr>
  </w:style>
  <w:style w:type="character" w:customStyle="1" w:styleId="SignatureChar">
    <w:name w:val="Signature Char"/>
    <w:basedOn w:val="DefaultParagraphFont"/>
    <w:link w:val="Signature"/>
    <w:uiPriority w:val="99"/>
    <w:semiHidden/>
    <w:locked/>
    <w:rsid w:val="00DB55B9"/>
    <w:rPr>
      <w:rFonts w:eastAsia="Calibri"/>
      <w:color w:val="000000"/>
    </w:rPr>
  </w:style>
  <w:style w:type="character" w:styleId="Strong">
    <w:name w:val="Strong"/>
    <w:basedOn w:val="DefaultParagraphFont"/>
    <w:uiPriority w:val="22"/>
    <w:qFormat/>
    <w:locked/>
    <w:rsid w:val="001249CC"/>
    <w:rPr>
      <w:rFonts w:cs="Times New Roman"/>
      <w:b/>
      <w:bCs/>
    </w:rPr>
  </w:style>
  <w:style w:type="table" w:styleId="Table3Deffects1">
    <w:name w:val="Table 3D effects 1"/>
    <w:basedOn w:val="TableNormal"/>
    <w:uiPriority w:val="99"/>
    <w:locked/>
    <w:rsid w:val="00E251B6"/>
    <w:pPr>
      <w:spacing w:after="120"/>
    </w:pPr>
    <w:rPr>
      <w:rFonts w:eastAsia="Times New Roman"/>
    </w:rPr>
    <w:tblPr>
      <w:tblInd w:w="0" w:type="dxa"/>
      <w:tblCellMar>
        <w:top w:w="0" w:type="dxa"/>
        <w:left w:w="108" w:type="dxa"/>
        <w:bottom w:w="0" w:type="dxa"/>
        <w:right w:w="108" w:type="dxa"/>
      </w:tblCellMar>
    </w:tblPr>
    <w:tcPr>
      <w:shd w:val="solid" w:color="C0C0C0" w:fill="FFFFFF"/>
    </w:tcPr>
    <w:tblStylePr w:type="firstRow">
      <w:rPr>
        <w:rFonts w:cs="Times New Roman"/>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locked/>
    <w:rsid w:val="00E251B6"/>
    <w:pPr>
      <w:spacing w:after="120"/>
    </w:pPr>
    <w:rPr>
      <w:rFonts w:eastAsia="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3Deffects3">
    <w:name w:val="Table 3D effects 3"/>
    <w:basedOn w:val="TableNormal"/>
    <w:uiPriority w:val="99"/>
    <w:locked/>
    <w:rsid w:val="00E251B6"/>
    <w:pPr>
      <w:spacing w:after="120"/>
    </w:pPr>
    <w:rPr>
      <w:rFonts w:eastAsia="Times New Roman"/>
    </w:rPr>
    <w:tblPr>
      <w:tblStyleRowBandSize w:val="1"/>
      <w:tblStyleColBandSize w:val="1"/>
      <w:tblInd w:w="0" w:type="dxa"/>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lassic1">
    <w:name w:val="Table Classic 1"/>
    <w:basedOn w:val="TableNormal"/>
    <w:uiPriority w:val="99"/>
    <w:locked/>
    <w:rsid w:val="00E251B6"/>
    <w:pPr>
      <w:spacing w:after="120"/>
    </w:pPr>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lassic2">
    <w:name w:val="Table Classic 2"/>
    <w:basedOn w:val="TableNormal"/>
    <w:uiPriority w:val="99"/>
    <w:locked/>
    <w:rsid w:val="00E251B6"/>
    <w:pPr>
      <w:spacing w:after="120"/>
    </w:pPr>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shd w:val="solid" w:color="C0C0C0" w:fill="FFFFFF"/>
      </w:tcPr>
    </w:tblStylePr>
    <w:tblStylePr w:type="neCell">
      <w:rPr>
        <w:rFonts w:cs="Times New Roman"/>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rPr>
      <w:tblPr/>
      <w:tcPr>
        <w:tcBorders>
          <w:tl2br w:val="none" w:sz="0" w:space="0" w:color="auto"/>
          <w:tr2bl w:val="none" w:sz="0" w:space="0" w:color="auto"/>
        </w:tcBorders>
      </w:tcPr>
    </w:tblStylePr>
  </w:style>
  <w:style w:type="table" w:styleId="TableClassic3">
    <w:name w:val="Table Classic 3"/>
    <w:basedOn w:val="TableNormal"/>
    <w:uiPriority w:val="99"/>
    <w:locked/>
    <w:rsid w:val="00E251B6"/>
    <w:pPr>
      <w:spacing w:after="120"/>
    </w:pPr>
    <w:rPr>
      <w:rFonts w:eastAsia="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rPr>
      <w:tblPr/>
      <w:tcPr>
        <w:tcBorders>
          <w:tl2br w:val="none" w:sz="0" w:space="0" w:color="auto"/>
          <w:tr2bl w:val="none" w:sz="0" w:space="0" w:color="auto"/>
        </w:tcBorders>
      </w:tcPr>
    </w:tblStylePr>
  </w:style>
  <w:style w:type="table" w:styleId="TableClassic4">
    <w:name w:val="Table Classic 4"/>
    <w:basedOn w:val="TableNormal"/>
    <w:uiPriority w:val="99"/>
    <w:locked/>
    <w:rsid w:val="00E251B6"/>
    <w:pPr>
      <w:spacing w:after="120"/>
    </w:pPr>
    <w:rPr>
      <w:rFonts w:eastAsia="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olorful1">
    <w:name w:val="Table Colorful 1"/>
    <w:basedOn w:val="TableNormal"/>
    <w:uiPriority w:val="99"/>
    <w:locked/>
    <w:rsid w:val="00E251B6"/>
    <w:pPr>
      <w:spacing w:after="120"/>
    </w:pPr>
    <w:rPr>
      <w:rFonts w:eastAsia="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rPr>
      <w:tblPr/>
      <w:tcPr>
        <w:tcBorders>
          <w:tl2br w:val="none" w:sz="0" w:space="0" w:color="auto"/>
          <w:tr2bl w:val="none" w:sz="0" w:space="0" w:color="auto"/>
        </w:tcBorders>
        <w:shd w:val="solid" w:color="000000" w:fill="FFFFFF"/>
      </w:tcPr>
    </w:tblStylePr>
    <w:tblStylePr w:type="firstCol">
      <w:rPr>
        <w:rFonts w:cs="Times New Roman"/>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rPr>
      <w:tblPr/>
      <w:tcPr>
        <w:tcBorders>
          <w:tl2br w:val="none" w:sz="0" w:space="0" w:color="auto"/>
          <w:tr2bl w:val="none" w:sz="0" w:space="0" w:color="auto"/>
        </w:tcBorders>
      </w:tcPr>
    </w:tblStylePr>
  </w:style>
  <w:style w:type="table" w:styleId="TableColorful2">
    <w:name w:val="Table Colorful 2"/>
    <w:basedOn w:val="TableNormal"/>
    <w:uiPriority w:val="99"/>
    <w:locked/>
    <w:rsid w:val="00E251B6"/>
    <w:pPr>
      <w:spacing w:after="120"/>
    </w:pPr>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rPr>
      <w:tblPr/>
      <w:tcPr>
        <w:tcBorders>
          <w:tl2br w:val="none" w:sz="0" w:space="0" w:color="auto"/>
          <w:tr2bl w:val="none" w:sz="0" w:space="0" w:color="auto"/>
        </w:tcBorders>
      </w:tcPr>
    </w:tblStylePr>
  </w:style>
  <w:style w:type="table" w:styleId="TableColorful3">
    <w:name w:val="Table Colorful 3"/>
    <w:basedOn w:val="TableNormal"/>
    <w:uiPriority w:val="99"/>
    <w:locked/>
    <w:rsid w:val="00E251B6"/>
    <w:pPr>
      <w:spacing w:after="120"/>
    </w:pPr>
    <w:rPr>
      <w:rFonts w:eastAsia="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locked/>
    <w:rsid w:val="00E251B6"/>
    <w:pPr>
      <w:spacing w:after="120"/>
    </w:pPr>
    <w:rPr>
      <w:rFonts w:eastAsia="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rPr>
      <w:tblPr/>
      <w:tcPr>
        <w:tcBorders>
          <w:bottom w:val="double" w:sz="6"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25" w:color="000000" w:fill="FFFFFF"/>
      </w:tcPr>
    </w:tblStylePr>
    <w:tblStylePr w:type="band2Vert">
      <w:rPr>
        <w:rFonts w:cs="Times New Roman"/>
      </w:rPr>
      <w:tblPr/>
      <w:tcPr>
        <w:shd w:val="pct25" w:color="FF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olumns2">
    <w:name w:val="Table Columns 2"/>
    <w:basedOn w:val="TableNormal"/>
    <w:uiPriority w:val="99"/>
    <w:locked/>
    <w:rsid w:val="00E251B6"/>
    <w:pPr>
      <w:spacing w:after="120"/>
    </w:pPr>
    <w:rPr>
      <w:rFonts w:eastAsia="Times New Roman"/>
      <w:b/>
      <w:bCs/>
    </w:rPr>
    <w:tblPr>
      <w:tblStyleColBandSize w:val="1"/>
      <w:tblInd w:w="0" w:type="dxa"/>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30" w:color="000000" w:fill="FFFFFF"/>
      </w:tcPr>
    </w:tblStylePr>
    <w:tblStylePr w:type="band2Vert">
      <w:rPr>
        <w:rFonts w:cs="Times New Roman"/>
      </w:rPr>
      <w:tblPr/>
      <w:tcPr>
        <w:shd w:val="pct25" w:color="00FF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Columns3">
    <w:name w:val="Table Columns 3"/>
    <w:basedOn w:val="TableNormal"/>
    <w:uiPriority w:val="99"/>
    <w:locked/>
    <w:rsid w:val="00E251B6"/>
    <w:pPr>
      <w:spacing w:after="120"/>
    </w:pPr>
    <w:rPr>
      <w:rFonts w:eastAsia="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table" w:styleId="TableColumns4">
    <w:name w:val="Table Columns 4"/>
    <w:basedOn w:val="TableNormal"/>
    <w:uiPriority w:val="99"/>
    <w:locked/>
    <w:rsid w:val="00E251B6"/>
    <w:pPr>
      <w:spacing w:after="120"/>
    </w:pPr>
    <w:rPr>
      <w:rFonts w:eastAsia="Times New Roman"/>
    </w:rPr>
    <w:tblPr>
      <w:tblStyleColBandSize w:val="1"/>
      <w:tblInd w:w="0" w:type="dxa"/>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pct50" w:color="008080" w:fill="FFFFFF"/>
      </w:tcPr>
    </w:tblStylePr>
    <w:tblStylePr w:type="band2Vert">
      <w:rPr>
        <w:rFonts w:cs="Times New Roman"/>
      </w:rPr>
      <w:tblPr/>
      <w:tcPr>
        <w:shd w:val="pct10" w:color="000000" w:fill="FFFFFF"/>
      </w:tcPr>
    </w:tblStylePr>
  </w:style>
  <w:style w:type="table" w:styleId="TableColumns5">
    <w:name w:val="Table Columns 5"/>
    <w:basedOn w:val="TableNormal"/>
    <w:uiPriority w:val="99"/>
    <w:locked/>
    <w:rsid w:val="00E251B6"/>
    <w:pPr>
      <w:spacing w:after="120"/>
    </w:pPr>
    <w:rPr>
      <w:rFonts w:eastAsia="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808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style>
  <w:style w:type="table" w:styleId="TableContemporary">
    <w:name w:val="Table Contemporary"/>
    <w:basedOn w:val="TableNormal"/>
    <w:uiPriority w:val="99"/>
    <w:locked/>
    <w:rsid w:val="00E251B6"/>
    <w:pPr>
      <w:spacing w:after="120"/>
    </w:pPr>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locked/>
    <w:rsid w:val="00E251B6"/>
    <w:pPr>
      <w:spacing w:after="120"/>
    </w:pPr>
    <w:rPr>
      <w:rFonts w:eastAsia="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tcPr>
    </w:tblStylePr>
  </w:style>
  <w:style w:type="table" w:styleId="TableGrid1">
    <w:name w:val="Table Grid 1"/>
    <w:basedOn w:val="TableNormal"/>
    <w:uiPriority w:val="99"/>
    <w:locked/>
    <w:rsid w:val="00E251B6"/>
    <w:pPr>
      <w:spacing w:after="120"/>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Grid2">
    <w:name w:val="Table Grid 2"/>
    <w:basedOn w:val="TableNormal"/>
    <w:uiPriority w:val="99"/>
    <w:locked/>
    <w:rsid w:val="00E251B6"/>
    <w:pPr>
      <w:spacing w:after="120"/>
    </w:pPr>
    <w:rPr>
      <w:rFonts w:eastAsia="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Grid3">
    <w:name w:val="Table Grid 3"/>
    <w:basedOn w:val="TableNormal"/>
    <w:uiPriority w:val="99"/>
    <w:locked/>
    <w:rsid w:val="00E251B6"/>
    <w:pPr>
      <w:spacing w:after="120"/>
    </w:pPr>
    <w:rPr>
      <w:rFonts w:eastAsia="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Grid4">
    <w:name w:val="Table Grid 4"/>
    <w:basedOn w:val="TableNormal"/>
    <w:uiPriority w:val="99"/>
    <w:locked/>
    <w:rsid w:val="00E251B6"/>
    <w:pPr>
      <w:spacing w:after="120"/>
    </w:pPr>
    <w:rPr>
      <w:rFonts w:eastAsia="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TableGrid5">
    <w:name w:val="Table Grid 5"/>
    <w:basedOn w:val="TableNormal"/>
    <w:uiPriority w:val="99"/>
    <w:locked/>
    <w:rsid w:val="00E251B6"/>
    <w:pPr>
      <w:spacing w:after="120"/>
    </w:pPr>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locked/>
    <w:rsid w:val="00E251B6"/>
    <w:pPr>
      <w:spacing w:after="120"/>
    </w:pPr>
    <w:rPr>
      <w:rFonts w:eastAsia="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locked/>
    <w:rsid w:val="00E251B6"/>
    <w:pPr>
      <w:spacing w:after="120"/>
    </w:pPr>
    <w:rPr>
      <w:rFonts w:eastAsia="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locked/>
    <w:rsid w:val="00E251B6"/>
    <w:pPr>
      <w:spacing w:after="120"/>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table" w:styleId="TableList1">
    <w:name w:val="Table List 1"/>
    <w:basedOn w:val="TableNormal"/>
    <w:uiPriority w:val="99"/>
    <w:locked/>
    <w:rsid w:val="00E251B6"/>
    <w:pPr>
      <w:spacing w:after="120"/>
    </w:pPr>
    <w:rPr>
      <w:rFonts w:eastAsia="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solid" w:color="C0C0C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List2">
    <w:name w:val="Table List 2"/>
    <w:basedOn w:val="TableNormal"/>
    <w:uiPriority w:val="99"/>
    <w:locked/>
    <w:rsid w:val="00E251B6"/>
    <w:pPr>
      <w:spacing w:after="120"/>
    </w:pPr>
    <w:rPr>
      <w:rFonts w:eastAsia="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FF00" w:fill="FFFFFF"/>
      </w:tcPr>
    </w:tblStylePr>
    <w:tblStylePr w:type="band2Horz">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List3">
    <w:name w:val="Table List 3"/>
    <w:basedOn w:val="TableNormal"/>
    <w:uiPriority w:val="99"/>
    <w:locked/>
    <w:rsid w:val="00E251B6"/>
    <w:pPr>
      <w:spacing w:after="120"/>
    </w:pPr>
    <w:rPr>
      <w:rFonts w:eastAsia="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List4">
    <w:name w:val="Table List 4"/>
    <w:basedOn w:val="TableNormal"/>
    <w:uiPriority w:val="99"/>
    <w:locked/>
    <w:rsid w:val="00E251B6"/>
    <w:pPr>
      <w:spacing w:after="120"/>
    </w:pPr>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locked/>
    <w:rsid w:val="00E251B6"/>
    <w:pPr>
      <w:spacing w:after="120"/>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style>
  <w:style w:type="table" w:styleId="TableList6">
    <w:name w:val="Table List 6"/>
    <w:basedOn w:val="TableNormal"/>
    <w:uiPriority w:val="99"/>
    <w:locked/>
    <w:rsid w:val="00E251B6"/>
    <w:pPr>
      <w:spacing w:after="120"/>
    </w:pPr>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rPr>
      <w:tblPr/>
      <w:tcPr>
        <w:tcBorders>
          <w:bottom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locked/>
    <w:rsid w:val="00E251B6"/>
    <w:pPr>
      <w:spacing w:after="120"/>
    </w:pPr>
    <w:rPr>
      <w:rFonts w:eastAsia="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rPr>
      <w:tblPr/>
      <w:tcPr>
        <w:tcBorders>
          <w:top w:val="single" w:sz="12" w:space="0" w:color="008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locked/>
    <w:rsid w:val="00E251B6"/>
    <w:pPr>
      <w:spacing w:after="120"/>
    </w:pPr>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locked/>
    <w:rsid w:val="00E251B6"/>
    <w:pPr>
      <w:spacing w:after="120"/>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locked/>
    <w:rsid w:val="00E251B6"/>
    <w:pPr>
      <w:spacing w:after="120"/>
    </w:pPr>
    <w:rPr>
      <w:rFonts w:eastAsia="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locked/>
    <w:rsid w:val="00E251B6"/>
    <w:pPr>
      <w:spacing w:after="120"/>
    </w:pPr>
    <w:rPr>
      <w:rFonts w:eastAsia="Times New Roman"/>
    </w:rPr>
    <w:tblPr>
      <w:tblInd w:w="0" w:type="dxa"/>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6" w:space="0" w:color="000000"/>
          <w:tl2br w:val="none" w:sz="0" w:space="0" w:color="auto"/>
          <w:tr2bl w:val="none" w:sz="0" w:space="0" w:color="auto"/>
        </w:tcBorders>
      </w:tcPr>
    </w:tblStylePr>
    <w:tblStylePr w:type="neCell">
      <w:rPr>
        <w:rFonts w:cs="Times New Roman"/>
      </w:rPr>
      <w:tblPr/>
      <w:tcPr>
        <w:tcBorders>
          <w:left w:val="none" w:sz="0" w:space="0" w:color="auto"/>
          <w:tl2br w:val="none" w:sz="0" w:space="0" w:color="auto"/>
          <w:tr2bl w:val="none" w:sz="0" w:space="0" w:color="auto"/>
        </w:tcBorders>
      </w:tcPr>
    </w:tblStylePr>
    <w:tblStylePr w:type="swCell">
      <w:rPr>
        <w:rFonts w:cs="Times New Roman"/>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locked/>
    <w:rsid w:val="00E251B6"/>
    <w:pPr>
      <w:spacing w:after="120"/>
    </w:pPr>
    <w:rPr>
      <w:rFonts w:eastAsia="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locked/>
    <w:rsid w:val="00E251B6"/>
    <w:pPr>
      <w:spacing w:after="120"/>
    </w:pPr>
    <w:rPr>
      <w:rFonts w:eastAsia="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Subtle2">
    <w:name w:val="Table Subtle 2"/>
    <w:basedOn w:val="TableNormal"/>
    <w:uiPriority w:val="99"/>
    <w:locked/>
    <w:rsid w:val="00E251B6"/>
    <w:pPr>
      <w:spacing w:after="120"/>
    </w:pPr>
    <w:rPr>
      <w:rFonts w:eastAsia="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rPr>
      <w:tblPr/>
      <w:tcPr>
        <w:tcBorders>
          <w:tl2br w:val="none" w:sz="0" w:space="0" w:color="auto"/>
          <w:tr2bl w:val="none" w:sz="0" w:space="0" w:color="auto"/>
        </w:tcBorders>
      </w:tcPr>
    </w:tblStylePr>
    <w:tblStylePr w:type="swCell">
      <w:rPr>
        <w:rFonts w:cs="Times New Roman"/>
      </w:rPr>
      <w:tblPr/>
      <w:tcPr>
        <w:tcBorders>
          <w:tl2br w:val="none" w:sz="0" w:space="0" w:color="auto"/>
          <w:tr2bl w:val="none" w:sz="0" w:space="0" w:color="auto"/>
        </w:tcBorders>
      </w:tcPr>
    </w:tblStylePr>
  </w:style>
  <w:style w:type="table" w:styleId="TableTheme">
    <w:name w:val="Table Theme"/>
    <w:basedOn w:val="TableNormal"/>
    <w:uiPriority w:val="99"/>
    <w:locked/>
    <w:rsid w:val="00E251B6"/>
    <w:pPr>
      <w:spacing w:after="12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locked/>
    <w:rsid w:val="00E251B6"/>
    <w:pPr>
      <w:spacing w:after="120"/>
    </w:pPr>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table" w:styleId="TableWeb2">
    <w:name w:val="Table Web 2"/>
    <w:basedOn w:val="TableNormal"/>
    <w:uiPriority w:val="99"/>
    <w:locked/>
    <w:rsid w:val="00E251B6"/>
    <w:pPr>
      <w:spacing w:after="120"/>
    </w:pPr>
    <w:rPr>
      <w:rFonts w:eastAsia="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table" w:styleId="TableWeb3">
    <w:name w:val="Table Web 3"/>
    <w:basedOn w:val="TableNormal"/>
    <w:uiPriority w:val="99"/>
    <w:locked/>
    <w:rsid w:val="00E251B6"/>
    <w:pPr>
      <w:spacing w:after="120"/>
    </w:pPr>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paragraph" w:customStyle="1" w:styleId="VersoPageHeading">
    <w:name w:val="Verso Page Heading"/>
    <w:uiPriority w:val="12"/>
    <w:qFormat/>
    <w:rsid w:val="008F7A9C"/>
    <w:pPr>
      <w:spacing w:before="180" w:after="60"/>
    </w:pPr>
    <w:rPr>
      <w:rFonts w:eastAsia="Times New Roman"/>
      <w:bCs/>
      <w:color w:val="41B6E6"/>
      <w:sz w:val="24"/>
      <w:szCs w:val="26"/>
      <w:lang w:val="en-AU"/>
    </w:rPr>
  </w:style>
  <w:style w:type="paragraph" w:customStyle="1" w:styleId="BusinessUnitName">
    <w:name w:val="Business Unit Name"/>
    <w:uiPriority w:val="12"/>
    <w:qFormat/>
    <w:rsid w:val="00897FEE"/>
    <w:rPr>
      <w:b/>
      <w:caps/>
      <w:noProof/>
      <w:color w:val="FFFFFF"/>
      <w:spacing w:val="16"/>
      <w:sz w:val="22"/>
      <w:szCs w:val="24"/>
      <w:lang w:val="en-AU"/>
    </w:rPr>
  </w:style>
  <w:style w:type="character" w:styleId="CommentReference">
    <w:name w:val="annotation reference"/>
    <w:basedOn w:val="DefaultParagraphFont"/>
    <w:uiPriority w:val="99"/>
    <w:semiHidden/>
    <w:locked/>
    <w:rsid w:val="00AD275A"/>
    <w:rPr>
      <w:rFonts w:cs="Times New Roman"/>
      <w:sz w:val="16"/>
      <w:szCs w:val="16"/>
    </w:rPr>
  </w:style>
  <w:style w:type="paragraph" w:styleId="CommentText">
    <w:name w:val="annotation text"/>
    <w:basedOn w:val="Normal"/>
    <w:link w:val="CommentTextChar"/>
    <w:uiPriority w:val="99"/>
    <w:semiHidden/>
    <w:locked/>
    <w:rsid w:val="00AD275A"/>
    <w:rPr>
      <w:sz w:val="20"/>
      <w:szCs w:val="20"/>
    </w:rPr>
  </w:style>
  <w:style w:type="character" w:customStyle="1" w:styleId="CommentTextChar">
    <w:name w:val="Comment Text Char"/>
    <w:basedOn w:val="DefaultParagraphFont"/>
    <w:link w:val="CommentText"/>
    <w:uiPriority w:val="99"/>
    <w:semiHidden/>
    <w:rsid w:val="00DB55B9"/>
    <w:rPr>
      <w:rFonts w:eastAsia="Calibri"/>
      <w:color w:val="000000"/>
      <w:sz w:val="20"/>
      <w:szCs w:val="20"/>
    </w:rPr>
  </w:style>
  <w:style w:type="paragraph" w:styleId="CommentSubject">
    <w:name w:val="annotation subject"/>
    <w:basedOn w:val="CommentText"/>
    <w:next w:val="CommentText"/>
    <w:link w:val="CommentSubjectChar"/>
    <w:uiPriority w:val="99"/>
    <w:semiHidden/>
    <w:locked/>
    <w:rsid w:val="00AD275A"/>
    <w:rPr>
      <w:b/>
      <w:bCs/>
    </w:rPr>
  </w:style>
  <w:style w:type="character" w:customStyle="1" w:styleId="CommentSubjectChar">
    <w:name w:val="Comment Subject Char"/>
    <w:basedOn w:val="CommentTextChar"/>
    <w:link w:val="CommentSubject"/>
    <w:uiPriority w:val="99"/>
    <w:semiHidden/>
    <w:rsid w:val="00DB55B9"/>
    <w:rPr>
      <w:rFonts w:eastAsia="Calibri"/>
      <w:b/>
      <w:bCs/>
    </w:rPr>
  </w:style>
  <w:style w:type="paragraph" w:styleId="DocumentMap">
    <w:name w:val="Document Map"/>
    <w:basedOn w:val="Normal"/>
    <w:link w:val="DocumentMapChar"/>
    <w:uiPriority w:val="99"/>
    <w:semiHidden/>
    <w:locked/>
    <w:rsid w:val="00AD275A"/>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rsid w:val="00DB55B9"/>
    <w:rPr>
      <w:rFonts w:ascii="Tahoma" w:eastAsia="Calibri" w:hAnsi="Tahoma" w:cs="Tahoma"/>
      <w:color w:val="000000"/>
      <w:sz w:val="20"/>
      <w:szCs w:val="20"/>
      <w:shd w:val="clear" w:color="auto" w:fill="000080"/>
    </w:rPr>
  </w:style>
  <w:style w:type="character" w:styleId="EndnoteReference">
    <w:name w:val="endnote reference"/>
    <w:basedOn w:val="DefaultParagraphFont"/>
    <w:uiPriority w:val="99"/>
    <w:semiHidden/>
    <w:locked/>
    <w:rsid w:val="00AD275A"/>
    <w:rPr>
      <w:rFonts w:cs="Times New Roman"/>
      <w:vertAlign w:val="superscript"/>
    </w:rPr>
  </w:style>
  <w:style w:type="paragraph" w:styleId="EndnoteText">
    <w:name w:val="endnote text"/>
    <w:basedOn w:val="Normal"/>
    <w:link w:val="EndnoteTextChar"/>
    <w:uiPriority w:val="99"/>
    <w:semiHidden/>
    <w:locked/>
    <w:rsid w:val="00AD275A"/>
    <w:rPr>
      <w:sz w:val="20"/>
      <w:szCs w:val="20"/>
    </w:rPr>
  </w:style>
  <w:style w:type="character" w:customStyle="1" w:styleId="EndnoteTextChar">
    <w:name w:val="Endnote Text Char"/>
    <w:basedOn w:val="DefaultParagraphFont"/>
    <w:link w:val="EndnoteText"/>
    <w:uiPriority w:val="99"/>
    <w:semiHidden/>
    <w:rsid w:val="00DB55B9"/>
    <w:rPr>
      <w:rFonts w:eastAsia="Calibri"/>
      <w:color w:val="000000"/>
      <w:sz w:val="20"/>
      <w:szCs w:val="20"/>
    </w:rPr>
  </w:style>
  <w:style w:type="paragraph" w:styleId="Index1">
    <w:name w:val="index 1"/>
    <w:basedOn w:val="Normal"/>
    <w:next w:val="Normal"/>
    <w:autoRedefine/>
    <w:uiPriority w:val="99"/>
    <w:semiHidden/>
    <w:locked/>
    <w:rsid w:val="00AD275A"/>
    <w:pPr>
      <w:ind w:left="220" w:hanging="220"/>
    </w:pPr>
  </w:style>
  <w:style w:type="paragraph" w:styleId="Index2">
    <w:name w:val="index 2"/>
    <w:basedOn w:val="Normal"/>
    <w:next w:val="Normal"/>
    <w:autoRedefine/>
    <w:uiPriority w:val="99"/>
    <w:semiHidden/>
    <w:locked/>
    <w:rsid w:val="00AD275A"/>
    <w:pPr>
      <w:ind w:left="440" w:hanging="220"/>
    </w:pPr>
  </w:style>
  <w:style w:type="paragraph" w:styleId="Index3">
    <w:name w:val="index 3"/>
    <w:basedOn w:val="Normal"/>
    <w:next w:val="Normal"/>
    <w:autoRedefine/>
    <w:uiPriority w:val="99"/>
    <w:semiHidden/>
    <w:locked/>
    <w:rsid w:val="00AD275A"/>
    <w:pPr>
      <w:ind w:left="660" w:hanging="220"/>
    </w:pPr>
  </w:style>
  <w:style w:type="paragraph" w:styleId="Index4">
    <w:name w:val="index 4"/>
    <w:basedOn w:val="Normal"/>
    <w:next w:val="Normal"/>
    <w:autoRedefine/>
    <w:uiPriority w:val="99"/>
    <w:semiHidden/>
    <w:locked/>
    <w:rsid w:val="00AD275A"/>
    <w:pPr>
      <w:ind w:left="880" w:hanging="220"/>
    </w:pPr>
  </w:style>
  <w:style w:type="paragraph" w:styleId="Index5">
    <w:name w:val="index 5"/>
    <w:basedOn w:val="Normal"/>
    <w:next w:val="Normal"/>
    <w:autoRedefine/>
    <w:uiPriority w:val="99"/>
    <w:semiHidden/>
    <w:locked/>
    <w:rsid w:val="00AD275A"/>
    <w:pPr>
      <w:ind w:left="1100" w:hanging="220"/>
    </w:pPr>
  </w:style>
  <w:style w:type="paragraph" w:styleId="Index6">
    <w:name w:val="index 6"/>
    <w:basedOn w:val="Normal"/>
    <w:next w:val="Normal"/>
    <w:autoRedefine/>
    <w:uiPriority w:val="99"/>
    <w:semiHidden/>
    <w:locked/>
    <w:rsid w:val="00AD275A"/>
    <w:pPr>
      <w:ind w:left="1320" w:hanging="220"/>
    </w:pPr>
  </w:style>
  <w:style w:type="paragraph" w:styleId="Index7">
    <w:name w:val="index 7"/>
    <w:basedOn w:val="Normal"/>
    <w:next w:val="Normal"/>
    <w:autoRedefine/>
    <w:uiPriority w:val="99"/>
    <w:semiHidden/>
    <w:locked/>
    <w:rsid w:val="00AD275A"/>
    <w:pPr>
      <w:ind w:left="1540" w:hanging="220"/>
    </w:pPr>
  </w:style>
  <w:style w:type="paragraph" w:styleId="Index8">
    <w:name w:val="index 8"/>
    <w:basedOn w:val="Normal"/>
    <w:next w:val="Normal"/>
    <w:autoRedefine/>
    <w:uiPriority w:val="99"/>
    <w:semiHidden/>
    <w:locked/>
    <w:rsid w:val="00AD275A"/>
    <w:pPr>
      <w:ind w:left="1760" w:hanging="220"/>
    </w:pPr>
  </w:style>
  <w:style w:type="paragraph" w:styleId="Index9">
    <w:name w:val="index 9"/>
    <w:basedOn w:val="Normal"/>
    <w:next w:val="Normal"/>
    <w:autoRedefine/>
    <w:uiPriority w:val="99"/>
    <w:semiHidden/>
    <w:locked/>
    <w:rsid w:val="00AD275A"/>
    <w:pPr>
      <w:ind w:left="1980" w:hanging="220"/>
    </w:pPr>
  </w:style>
  <w:style w:type="paragraph" w:styleId="IndexHeading">
    <w:name w:val="index heading"/>
    <w:basedOn w:val="Normal"/>
    <w:next w:val="Index1"/>
    <w:uiPriority w:val="99"/>
    <w:semiHidden/>
    <w:locked/>
    <w:rsid w:val="00AD275A"/>
    <w:rPr>
      <w:rFonts w:ascii="Arial" w:hAnsi="Arial" w:cs="Arial"/>
      <w:b/>
      <w:bCs/>
    </w:rPr>
  </w:style>
  <w:style w:type="paragraph" w:styleId="MacroText">
    <w:name w:val="macro"/>
    <w:link w:val="MacroTextChar"/>
    <w:uiPriority w:val="99"/>
    <w:semiHidden/>
    <w:locked/>
    <w:rsid w:val="00AD275A"/>
    <w:pPr>
      <w:tabs>
        <w:tab w:val="left" w:pos="480"/>
        <w:tab w:val="left" w:pos="960"/>
        <w:tab w:val="left" w:pos="1440"/>
        <w:tab w:val="left" w:pos="1920"/>
        <w:tab w:val="left" w:pos="2400"/>
        <w:tab w:val="left" w:pos="2880"/>
        <w:tab w:val="left" w:pos="3360"/>
        <w:tab w:val="left" w:pos="3840"/>
        <w:tab w:val="left" w:pos="4320"/>
      </w:tabs>
      <w:spacing w:after="120"/>
    </w:pPr>
    <w:rPr>
      <w:rFonts w:ascii="Courier New" w:hAnsi="Courier New" w:cs="Courier New"/>
      <w:color w:val="000000"/>
      <w:lang w:val="en-AU"/>
    </w:rPr>
  </w:style>
  <w:style w:type="character" w:customStyle="1" w:styleId="MacroTextChar">
    <w:name w:val="Macro Text Char"/>
    <w:basedOn w:val="DefaultParagraphFont"/>
    <w:link w:val="MacroText"/>
    <w:uiPriority w:val="99"/>
    <w:semiHidden/>
    <w:rsid w:val="00DB55B9"/>
    <w:rPr>
      <w:rFonts w:ascii="Courier New" w:hAnsi="Courier New" w:cs="Courier New"/>
      <w:color w:val="000000"/>
      <w:lang w:val="en-AU" w:eastAsia="en-US" w:bidi="ar-SA"/>
    </w:rPr>
  </w:style>
  <w:style w:type="paragraph" w:styleId="TableofAuthorities">
    <w:name w:val="table of authorities"/>
    <w:basedOn w:val="Normal"/>
    <w:next w:val="Normal"/>
    <w:uiPriority w:val="99"/>
    <w:semiHidden/>
    <w:locked/>
    <w:rsid w:val="00AD275A"/>
    <w:pPr>
      <w:ind w:left="220" w:hanging="220"/>
    </w:pPr>
  </w:style>
  <w:style w:type="paragraph" w:styleId="TableofFigures">
    <w:name w:val="table of figures"/>
    <w:basedOn w:val="Normal"/>
    <w:next w:val="Normal"/>
    <w:uiPriority w:val="99"/>
    <w:locked/>
    <w:rsid w:val="00B34418"/>
    <w:pPr>
      <w:tabs>
        <w:tab w:val="right" w:leader="dot" w:pos="9639"/>
      </w:tabs>
      <w:ind w:right="284"/>
    </w:pPr>
  </w:style>
  <w:style w:type="paragraph" w:styleId="TOAHeading">
    <w:name w:val="toa heading"/>
    <w:basedOn w:val="Normal"/>
    <w:next w:val="Normal"/>
    <w:uiPriority w:val="99"/>
    <w:semiHidden/>
    <w:locked/>
    <w:rsid w:val="00AD275A"/>
    <w:pPr>
      <w:spacing w:before="120"/>
    </w:pPr>
    <w:rPr>
      <w:rFonts w:ascii="Arial" w:hAnsi="Arial" w:cs="Arial"/>
      <w:b/>
      <w:bCs/>
      <w:sz w:val="24"/>
      <w:szCs w:val="24"/>
    </w:rPr>
  </w:style>
  <w:style w:type="paragraph" w:styleId="TOC5">
    <w:name w:val="toc 5"/>
    <w:basedOn w:val="Normal"/>
    <w:next w:val="Normal"/>
    <w:autoRedefine/>
    <w:uiPriority w:val="99"/>
    <w:semiHidden/>
    <w:rsid w:val="00AD275A"/>
    <w:pPr>
      <w:ind w:left="880"/>
    </w:pPr>
  </w:style>
  <w:style w:type="paragraph" w:styleId="TOC6">
    <w:name w:val="toc 6"/>
    <w:basedOn w:val="Normal"/>
    <w:next w:val="Normal"/>
    <w:autoRedefine/>
    <w:uiPriority w:val="99"/>
    <w:semiHidden/>
    <w:rsid w:val="00AD275A"/>
    <w:pPr>
      <w:ind w:left="1100"/>
    </w:pPr>
  </w:style>
  <w:style w:type="paragraph" w:styleId="TOC7">
    <w:name w:val="toc 7"/>
    <w:basedOn w:val="Normal"/>
    <w:next w:val="Normal"/>
    <w:autoRedefine/>
    <w:uiPriority w:val="99"/>
    <w:semiHidden/>
    <w:rsid w:val="00AD275A"/>
    <w:pPr>
      <w:ind w:left="1320"/>
    </w:pPr>
  </w:style>
  <w:style w:type="paragraph" w:styleId="TOC8">
    <w:name w:val="toc 8"/>
    <w:basedOn w:val="Normal"/>
    <w:next w:val="Normal"/>
    <w:autoRedefine/>
    <w:uiPriority w:val="99"/>
    <w:semiHidden/>
    <w:rsid w:val="00AD275A"/>
    <w:pPr>
      <w:ind w:left="1540"/>
    </w:pPr>
  </w:style>
  <w:style w:type="numbering" w:customStyle="1" w:styleId="TableBullets">
    <w:name w:val="TableBullets"/>
    <w:uiPriority w:val="99"/>
    <w:rsid w:val="008861FC"/>
    <w:pPr>
      <w:numPr>
        <w:numId w:val="8"/>
      </w:numPr>
    </w:pPr>
  </w:style>
  <w:style w:type="numbering" w:customStyle="1" w:styleId="Sources">
    <w:name w:val="Sources"/>
    <w:rsid w:val="008861FC"/>
    <w:pPr>
      <w:numPr>
        <w:numId w:val="7"/>
      </w:numPr>
    </w:pPr>
  </w:style>
  <w:style w:type="numbering" w:styleId="1ai">
    <w:name w:val="Outline List 1"/>
    <w:basedOn w:val="NoList"/>
    <w:uiPriority w:val="99"/>
    <w:semiHidden/>
    <w:unhideWhenUsed/>
    <w:locked/>
    <w:rsid w:val="008861FC"/>
    <w:pPr>
      <w:numPr>
        <w:numId w:val="11"/>
      </w:numPr>
    </w:pPr>
  </w:style>
  <w:style w:type="numbering" w:styleId="111111">
    <w:name w:val="Outline List 2"/>
    <w:basedOn w:val="NoList"/>
    <w:uiPriority w:val="99"/>
    <w:semiHidden/>
    <w:unhideWhenUsed/>
    <w:locked/>
    <w:rsid w:val="008861FC"/>
    <w:pPr>
      <w:numPr>
        <w:numId w:val="10"/>
      </w:numPr>
    </w:pPr>
  </w:style>
  <w:style w:type="numbering" w:customStyle="1" w:styleId="Bullets">
    <w:name w:val="Bullets"/>
    <w:rsid w:val="008861FC"/>
    <w:pPr>
      <w:numPr>
        <w:numId w:val="6"/>
      </w:numPr>
    </w:pPr>
  </w:style>
  <w:style w:type="numbering" w:customStyle="1" w:styleId="Numbers">
    <w:name w:val="Numbers"/>
    <w:rsid w:val="008861FC"/>
    <w:pPr>
      <w:numPr>
        <w:numId w:val="9"/>
      </w:numPr>
    </w:pPr>
  </w:style>
  <w:style w:type="numbering" w:styleId="ArticleSection">
    <w:name w:val="Outline List 3"/>
    <w:basedOn w:val="NoList"/>
    <w:uiPriority w:val="99"/>
    <w:semiHidden/>
    <w:unhideWhenUsed/>
    <w:locked/>
    <w:rsid w:val="008861FC"/>
    <w:pPr>
      <w:numPr>
        <w:numId w:val="12"/>
      </w:numPr>
    </w:pPr>
  </w:style>
  <w:style w:type="paragraph" w:customStyle="1" w:styleId="AppendixHeading1base">
    <w:name w:val="Appendix Heading 1 base"/>
    <w:uiPriority w:val="20"/>
    <w:semiHidden/>
    <w:qFormat/>
    <w:rsid w:val="005C1B4B"/>
    <w:pPr>
      <w:keepNext/>
      <w:pageBreakBefore/>
      <w:numPr>
        <w:numId w:val="15"/>
      </w:numPr>
      <w:tabs>
        <w:tab w:val="left" w:pos="2268"/>
      </w:tabs>
    </w:pPr>
    <w:rPr>
      <w:rFonts w:eastAsia="Times New Roman"/>
      <w:b/>
      <w:bCs/>
      <w:color w:val="41B6E6"/>
      <w:sz w:val="44"/>
      <w:szCs w:val="28"/>
      <w:lang w:val="en-AU" w:eastAsia="en-AU"/>
    </w:rPr>
  </w:style>
  <w:style w:type="paragraph" w:customStyle="1" w:styleId="AppendixHeading2">
    <w:name w:val="Appendix Heading 2"/>
    <w:basedOn w:val="Heading2"/>
    <w:uiPriority w:val="11"/>
    <w:qFormat/>
    <w:rsid w:val="007738F3"/>
    <w:pPr>
      <w:numPr>
        <w:numId w:val="15"/>
      </w:numPr>
    </w:pPr>
  </w:style>
  <w:style w:type="paragraph" w:customStyle="1" w:styleId="AppendixHeading3">
    <w:name w:val="Appendix Heading 3"/>
    <w:basedOn w:val="Heading3"/>
    <w:uiPriority w:val="11"/>
    <w:qFormat/>
    <w:rsid w:val="000F1FE4"/>
    <w:pPr>
      <w:numPr>
        <w:numId w:val="15"/>
      </w:numPr>
      <w:ind w:left="0" w:firstLine="0"/>
    </w:pPr>
  </w:style>
  <w:style w:type="paragraph" w:customStyle="1" w:styleId="AppendixHeading4">
    <w:name w:val="Appendix Heading 4"/>
    <w:basedOn w:val="Heading4"/>
    <w:uiPriority w:val="11"/>
    <w:qFormat/>
    <w:rsid w:val="00880650"/>
  </w:style>
  <w:style w:type="paragraph" w:customStyle="1" w:styleId="Equation">
    <w:name w:val="Equation"/>
    <w:basedOn w:val="Normal"/>
    <w:next w:val="Normal"/>
    <w:uiPriority w:val="7"/>
    <w:qFormat/>
    <w:rsid w:val="00B93FAF"/>
    <w:pPr>
      <w:tabs>
        <w:tab w:val="right" w:pos="7938"/>
      </w:tabs>
      <w:spacing w:before="284" w:after="284"/>
      <w:ind w:left="567"/>
    </w:pPr>
    <w:rPr>
      <w:rFonts w:eastAsia="Times New Roman"/>
      <w:color w:val="auto"/>
      <w:szCs w:val="24"/>
      <w:lang w:eastAsia="en-US"/>
    </w:rPr>
  </w:style>
  <w:style w:type="paragraph" w:customStyle="1" w:styleId="Reference">
    <w:name w:val="Reference"/>
    <w:basedOn w:val="Normal"/>
    <w:uiPriority w:val="9"/>
    <w:qFormat/>
    <w:rsid w:val="007F16A8"/>
    <w:pPr>
      <w:ind w:left="567" w:hanging="567"/>
    </w:pPr>
  </w:style>
  <w:style w:type="paragraph" w:styleId="ListNumber2">
    <w:name w:val="List Number 2"/>
    <w:basedOn w:val="Normal"/>
    <w:uiPriority w:val="2"/>
    <w:qFormat/>
    <w:locked/>
    <w:rsid w:val="0005371F"/>
    <w:pPr>
      <w:numPr>
        <w:numId w:val="13"/>
      </w:numPr>
      <w:tabs>
        <w:tab w:val="left" w:pos="794"/>
      </w:tabs>
      <w:ind w:left="794" w:hanging="397"/>
      <w:contextualSpacing/>
    </w:pPr>
  </w:style>
  <w:style w:type="character" w:customStyle="1" w:styleId="Italics">
    <w:name w:val="Italics"/>
    <w:basedOn w:val="DefaultParagraphFont"/>
    <w:uiPriority w:val="3"/>
    <w:qFormat/>
    <w:rsid w:val="0005371F"/>
    <w:rPr>
      <w:i/>
    </w:rPr>
  </w:style>
  <w:style w:type="paragraph" w:customStyle="1" w:styleId="OEReference">
    <w:name w:val="OE Reference"/>
    <w:basedOn w:val="Normal"/>
    <w:next w:val="Normal"/>
    <w:rsid w:val="00747E63"/>
    <w:pPr>
      <w:numPr>
        <w:numId w:val="16"/>
      </w:numPr>
      <w:spacing w:after="20"/>
    </w:pPr>
    <w:rPr>
      <w:rFonts w:ascii="Times New Roman" w:eastAsia="Times New Roman" w:hAnsi="Times New Roman"/>
      <w:color w:val="auto"/>
      <w:sz w:val="16"/>
      <w:szCs w:val="20"/>
      <w:lang w:val="en-US" w:eastAsia="en-US"/>
    </w:rPr>
  </w:style>
  <w:style w:type="paragraph" w:customStyle="1" w:styleId="normal0">
    <w:name w:val="normal"/>
    <w:rsid w:val="00C34D40"/>
    <w:rPr>
      <w:rFonts w:ascii="Times New Roman" w:eastAsia="Times New Roman" w:hAnsi="Times New Roman"/>
      <w:color w:val="000000"/>
      <w:sz w:val="24"/>
      <w:szCs w:val="24"/>
    </w:rPr>
  </w:style>
  <w:style w:type="paragraph" w:styleId="ListParagraph">
    <w:name w:val="List Paragraph"/>
    <w:basedOn w:val="Normal"/>
    <w:uiPriority w:val="34"/>
    <w:qFormat/>
    <w:rsid w:val="00916F8C"/>
    <w:pPr>
      <w:spacing w:after="0" w:line="340" w:lineRule="atLeast"/>
      <w:ind w:left="720"/>
      <w:contextualSpacing/>
    </w:pPr>
    <w:rPr>
      <w:rFonts w:ascii="Times New Roman" w:eastAsia="Times New Roman" w:hAnsi="Times New Roman"/>
      <w:sz w:val="24"/>
      <w:szCs w:val="20"/>
      <w:lang w:val="en-US" w:eastAsia="de-DE"/>
    </w:rPr>
  </w:style>
  <w:style w:type="character" w:customStyle="1" w:styleId="Style11pt">
    <w:name w:val="Style 11 pt"/>
    <w:basedOn w:val="DefaultParagraphFont"/>
    <w:rsid w:val="00916F8C"/>
    <w:rPr>
      <w:sz w:val="22"/>
    </w:rPr>
  </w:style>
  <w:style w:type="character" w:customStyle="1" w:styleId="bodytext12-black">
    <w:name w:val="bodytext12-black"/>
    <w:basedOn w:val="DefaultParagraphFont"/>
    <w:rsid w:val="00916F8C"/>
  </w:style>
  <w:style w:type="table" w:customStyle="1" w:styleId="LightShading1">
    <w:name w:val="Light Shading1"/>
    <w:basedOn w:val="TableNormal"/>
    <w:uiPriority w:val="60"/>
    <w:rsid w:val="00107E8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11">
    <w:name w:val="Medium Shading 11"/>
    <w:basedOn w:val="TableNormal"/>
    <w:uiPriority w:val="63"/>
    <w:rsid w:val="00107E8D"/>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paragraph" w:customStyle="1" w:styleId="Default">
    <w:name w:val="Default"/>
    <w:rsid w:val="00BC7D2F"/>
    <w:pPr>
      <w:autoSpaceDE w:val="0"/>
      <w:autoSpaceDN w:val="0"/>
      <w:adjustRightInd w:val="0"/>
    </w:pPr>
    <w:rPr>
      <w:rFonts w:eastAsiaTheme="minorEastAsia" w:cs="Calibri"/>
      <w:color w:val="000000"/>
      <w:sz w:val="24"/>
      <w:szCs w:val="24"/>
      <w:lang w:val="en-GB"/>
    </w:rPr>
  </w:style>
  <w:style w:type="character" w:customStyle="1" w:styleId="A1">
    <w:name w:val="A1"/>
    <w:uiPriority w:val="99"/>
    <w:rsid w:val="00884762"/>
    <w:rPr>
      <w:rFonts w:cs="Times"/>
      <w:color w:val="000000"/>
      <w:sz w:val="22"/>
      <w:szCs w:val="22"/>
    </w:rPr>
  </w:style>
  <w:style w:type="character" w:customStyle="1" w:styleId="nlmstring-name">
    <w:name w:val="nlm_string-name"/>
    <w:basedOn w:val="DefaultParagraphFont"/>
    <w:rsid w:val="00077EFF"/>
  </w:style>
  <w:style w:type="character" w:customStyle="1" w:styleId="st">
    <w:name w:val="st"/>
    <w:basedOn w:val="DefaultParagraphFont"/>
    <w:rsid w:val="00077EFF"/>
  </w:style>
  <w:style w:type="table" w:customStyle="1" w:styleId="5">
    <w:name w:val="5"/>
    <w:basedOn w:val="TableNormal"/>
    <w:rsid w:val="003622ED"/>
    <w:pPr>
      <w:spacing w:after="120"/>
      <w:contextualSpacing/>
      <w:jc w:val="both"/>
    </w:pPr>
    <w:rPr>
      <w:rFonts w:cs="Calibri"/>
      <w:color w:val="000000"/>
      <w:sz w:val="22"/>
      <w:szCs w:val="22"/>
    </w:rPr>
    <w:tblPr>
      <w:tblStyleRowBandSize w:val="1"/>
      <w:tblStyleColBandSize w:val="1"/>
      <w:tblInd w:w="0" w:type="dxa"/>
      <w:tblCellMar>
        <w:top w:w="0" w:type="dxa"/>
        <w:left w:w="115" w:type="dxa"/>
        <w:bottom w:w="0" w:type="dxa"/>
        <w:right w:w="115" w:type="dxa"/>
      </w:tblCellMar>
    </w:tblPr>
  </w:style>
  <w:style w:type="table" w:customStyle="1" w:styleId="4">
    <w:name w:val="4"/>
    <w:basedOn w:val="TableNormal"/>
    <w:rsid w:val="003622ED"/>
    <w:pPr>
      <w:spacing w:after="120"/>
      <w:jc w:val="both"/>
    </w:pPr>
    <w:rPr>
      <w:rFonts w:cs="Calibri"/>
      <w:color w:val="000000"/>
      <w:sz w:val="22"/>
      <w:szCs w:val="22"/>
    </w:rPr>
    <w:tblPr>
      <w:tblStyleRowBandSize w:val="1"/>
      <w:tblStyleColBandSize w:val="1"/>
      <w:tblInd w:w="0" w:type="dxa"/>
      <w:tblCellMar>
        <w:top w:w="0" w:type="dxa"/>
        <w:left w:w="0" w:type="dxa"/>
        <w:bottom w:w="0" w:type="dxa"/>
        <w:right w:w="0" w:type="dxa"/>
      </w:tblCellMar>
    </w:tblPr>
  </w:style>
  <w:style w:type="character" w:customStyle="1" w:styleId="cofunctiongetcustomerdata">
    <w:name w:val="co_function_get_customer_data"/>
    <w:basedOn w:val="DefaultParagraphFont"/>
    <w:rsid w:val="00D10B6F"/>
  </w:style>
  <w:style w:type="character" w:customStyle="1" w:styleId="A3">
    <w:name w:val="A3"/>
    <w:uiPriority w:val="99"/>
    <w:rsid w:val="002D15AB"/>
    <w:rPr>
      <w:rFonts w:cs="NettoOT-Light"/>
      <w:color w:val="000000"/>
      <w:sz w:val="18"/>
      <w:szCs w:val="18"/>
    </w:rPr>
  </w:style>
  <w:style w:type="character" w:styleId="IntenseEmphasis">
    <w:name w:val="Intense Emphasis"/>
    <w:basedOn w:val="DefaultParagraphFont"/>
    <w:uiPriority w:val="21"/>
    <w:qFormat/>
    <w:rsid w:val="00BF7AEB"/>
    <w:rPr>
      <w:b/>
      <w:bCs/>
      <w:i/>
      <w:iCs/>
      <w:color w:val="4F81BD" w:themeColor="accent1"/>
    </w:rPr>
  </w:style>
  <w:style w:type="character" w:styleId="PlaceholderText">
    <w:name w:val="Placeholder Text"/>
    <w:basedOn w:val="DefaultParagraphFont"/>
    <w:uiPriority w:val="99"/>
    <w:semiHidden/>
    <w:rsid w:val="00177A91"/>
    <w:rPr>
      <w:color w:val="808080"/>
    </w:rPr>
  </w:style>
</w:styles>
</file>

<file path=word/webSettings.xml><?xml version="1.0" encoding="utf-8"?>
<w:webSettings xmlns:r="http://schemas.openxmlformats.org/officeDocument/2006/relationships" xmlns:w="http://schemas.openxmlformats.org/wordprocessingml/2006/main">
  <w:divs>
    <w:div w:id="65762226">
      <w:bodyDiv w:val="1"/>
      <w:marLeft w:val="0"/>
      <w:marRight w:val="0"/>
      <w:marTop w:val="0"/>
      <w:marBottom w:val="0"/>
      <w:divBdr>
        <w:top w:val="none" w:sz="0" w:space="0" w:color="auto"/>
        <w:left w:val="none" w:sz="0" w:space="0" w:color="auto"/>
        <w:bottom w:val="none" w:sz="0" w:space="0" w:color="auto"/>
        <w:right w:val="none" w:sz="0" w:space="0" w:color="auto"/>
      </w:divBdr>
      <w:divsChild>
        <w:div w:id="1709988747">
          <w:marLeft w:val="0"/>
          <w:marRight w:val="0"/>
          <w:marTop w:val="0"/>
          <w:marBottom w:val="0"/>
          <w:divBdr>
            <w:top w:val="none" w:sz="0" w:space="0" w:color="auto"/>
            <w:left w:val="none" w:sz="0" w:space="0" w:color="auto"/>
            <w:bottom w:val="none" w:sz="0" w:space="0" w:color="auto"/>
            <w:right w:val="none" w:sz="0" w:space="0" w:color="auto"/>
          </w:divBdr>
        </w:div>
      </w:divsChild>
    </w:div>
    <w:div w:id="509874899">
      <w:bodyDiv w:val="1"/>
      <w:marLeft w:val="0"/>
      <w:marRight w:val="0"/>
      <w:marTop w:val="0"/>
      <w:marBottom w:val="0"/>
      <w:divBdr>
        <w:top w:val="none" w:sz="0" w:space="0" w:color="auto"/>
        <w:left w:val="none" w:sz="0" w:space="0" w:color="auto"/>
        <w:bottom w:val="none" w:sz="0" w:space="0" w:color="auto"/>
        <w:right w:val="none" w:sz="0" w:space="0" w:color="auto"/>
      </w:divBdr>
    </w:div>
    <w:div w:id="1051147293">
      <w:bodyDiv w:val="1"/>
      <w:marLeft w:val="0"/>
      <w:marRight w:val="0"/>
      <w:marTop w:val="0"/>
      <w:marBottom w:val="0"/>
      <w:divBdr>
        <w:top w:val="none" w:sz="0" w:space="0" w:color="auto"/>
        <w:left w:val="none" w:sz="0" w:space="0" w:color="auto"/>
        <w:bottom w:val="none" w:sz="0" w:space="0" w:color="auto"/>
        <w:right w:val="none" w:sz="0" w:space="0" w:color="auto"/>
      </w:divBdr>
    </w:div>
    <w:div w:id="1200821420">
      <w:bodyDiv w:val="1"/>
      <w:marLeft w:val="0"/>
      <w:marRight w:val="0"/>
      <w:marTop w:val="0"/>
      <w:marBottom w:val="0"/>
      <w:divBdr>
        <w:top w:val="none" w:sz="0" w:space="0" w:color="auto"/>
        <w:left w:val="none" w:sz="0" w:space="0" w:color="auto"/>
        <w:bottom w:val="none" w:sz="0" w:space="0" w:color="auto"/>
        <w:right w:val="none" w:sz="0" w:space="0" w:color="auto"/>
      </w:divBdr>
      <w:divsChild>
        <w:div w:id="1860007193">
          <w:marLeft w:val="0"/>
          <w:marRight w:val="0"/>
          <w:marTop w:val="0"/>
          <w:marBottom w:val="0"/>
          <w:divBdr>
            <w:top w:val="none" w:sz="0" w:space="0" w:color="auto"/>
            <w:left w:val="none" w:sz="0" w:space="0" w:color="auto"/>
            <w:bottom w:val="none" w:sz="0" w:space="0" w:color="auto"/>
            <w:right w:val="none" w:sz="0" w:space="0" w:color="auto"/>
          </w:divBdr>
        </w:div>
        <w:div w:id="2078940358">
          <w:marLeft w:val="0"/>
          <w:marRight w:val="0"/>
          <w:marTop w:val="0"/>
          <w:marBottom w:val="0"/>
          <w:divBdr>
            <w:top w:val="none" w:sz="0" w:space="0" w:color="auto"/>
            <w:left w:val="none" w:sz="0" w:space="0" w:color="auto"/>
            <w:bottom w:val="none" w:sz="0" w:space="0" w:color="auto"/>
            <w:right w:val="none" w:sz="0" w:space="0" w:color="auto"/>
          </w:divBdr>
        </w:div>
        <w:div w:id="1995837575">
          <w:marLeft w:val="0"/>
          <w:marRight w:val="0"/>
          <w:marTop w:val="0"/>
          <w:marBottom w:val="0"/>
          <w:divBdr>
            <w:top w:val="none" w:sz="0" w:space="0" w:color="auto"/>
            <w:left w:val="none" w:sz="0" w:space="0" w:color="auto"/>
            <w:bottom w:val="none" w:sz="0" w:space="0" w:color="auto"/>
            <w:right w:val="none" w:sz="0" w:space="0" w:color="auto"/>
          </w:divBdr>
        </w:div>
        <w:div w:id="130251166">
          <w:marLeft w:val="0"/>
          <w:marRight w:val="0"/>
          <w:marTop w:val="0"/>
          <w:marBottom w:val="0"/>
          <w:divBdr>
            <w:top w:val="none" w:sz="0" w:space="0" w:color="auto"/>
            <w:left w:val="none" w:sz="0" w:space="0" w:color="auto"/>
            <w:bottom w:val="none" w:sz="0" w:space="0" w:color="auto"/>
            <w:right w:val="none" w:sz="0" w:space="0" w:color="auto"/>
          </w:divBdr>
        </w:div>
      </w:divsChild>
    </w:div>
    <w:div w:id="1261568562">
      <w:bodyDiv w:val="1"/>
      <w:marLeft w:val="0"/>
      <w:marRight w:val="0"/>
      <w:marTop w:val="0"/>
      <w:marBottom w:val="0"/>
      <w:divBdr>
        <w:top w:val="none" w:sz="0" w:space="0" w:color="auto"/>
        <w:left w:val="none" w:sz="0" w:space="0" w:color="auto"/>
        <w:bottom w:val="none" w:sz="0" w:space="0" w:color="auto"/>
        <w:right w:val="none" w:sz="0" w:space="0" w:color="auto"/>
      </w:divBdr>
    </w:div>
    <w:div w:id="1338850105">
      <w:bodyDiv w:val="1"/>
      <w:marLeft w:val="0"/>
      <w:marRight w:val="0"/>
      <w:marTop w:val="0"/>
      <w:marBottom w:val="0"/>
      <w:divBdr>
        <w:top w:val="none" w:sz="0" w:space="0" w:color="auto"/>
        <w:left w:val="none" w:sz="0" w:space="0" w:color="auto"/>
        <w:bottom w:val="none" w:sz="0" w:space="0" w:color="auto"/>
        <w:right w:val="none" w:sz="0" w:space="0" w:color="auto"/>
      </w:divBdr>
    </w:div>
    <w:div w:id="1854756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hyperlink" Target="http://www.geonetcastamericas.noaa.gov/" TargetMode="External"/><Relationship Id="rId39" Type="http://schemas.openxmlformats.org/officeDocument/2006/relationships/image" Target="media/image19.emf"/><Relationship Id="rId21" Type="http://schemas.openxmlformats.org/officeDocument/2006/relationships/image" Target="media/image6.png"/><Relationship Id="rId34" Type="http://schemas.openxmlformats.org/officeDocument/2006/relationships/image" Target="media/image14.emf"/><Relationship Id="rId42" Type="http://schemas.openxmlformats.org/officeDocument/2006/relationships/hyperlink" Target="http://www.ghrsst.org/" TargetMode="External"/><Relationship Id="rId47" Type="http://schemas.openxmlformats.org/officeDocument/2006/relationships/image" Target="media/image26.gif"/><Relationship Id="rId50" Type="http://schemas.openxmlformats.org/officeDocument/2006/relationships/image" Target="media/image29.emf"/><Relationship Id="rId55" Type="http://schemas.openxmlformats.org/officeDocument/2006/relationships/hyperlink" Target="http://www.eorc.jaxa.jp/ptree/" TargetMode="External"/><Relationship Id="rId63" Type="http://schemas.openxmlformats.org/officeDocument/2006/relationships/image" Target="media/image41.png"/><Relationship Id="rId68" Type="http://schemas.openxmlformats.org/officeDocument/2006/relationships/image" Target="media/image46.png"/><Relationship Id="rId76" Type="http://schemas.openxmlformats.org/officeDocument/2006/relationships/hyperlink" Target="http://www.goes-r.gov/users/comet/npoess/multispectral_topics/rgb/print.htm" TargetMode="External"/><Relationship Id="rId84" Type="http://schemas.openxmlformats.org/officeDocument/2006/relationships/hyperlink" Target="http://www.nsmc.org.cn/en/NSMC/Channels/cmacast.html" TargetMode="External"/><Relationship Id="rId89" Type="http://schemas.openxmlformats.org/officeDocument/2006/relationships/hyperlink" Target="http://doi.org/10.1109/TGRS.2006.872081" TargetMode="External"/><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11.emf"/><Relationship Id="rId11" Type="http://schemas.openxmlformats.org/officeDocument/2006/relationships/footer" Target="footer2.xml"/><Relationship Id="rId24" Type="http://schemas.openxmlformats.org/officeDocument/2006/relationships/hyperlink" Target="http://www.goes-r.gov/users/grb.html" TargetMode="External"/><Relationship Id="rId32" Type="http://schemas.openxmlformats.org/officeDocument/2006/relationships/image" Target="media/image13.jpeg"/><Relationship Id="rId37" Type="http://schemas.openxmlformats.org/officeDocument/2006/relationships/image" Target="media/image17.jpeg"/><Relationship Id="rId40" Type="http://schemas.openxmlformats.org/officeDocument/2006/relationships/image" Target="media/image20.emf"/><Relationship Id="rId45" Type="http://schemas.openxmlformats.org/officeDocument/2006/relationships/image" Target="media/image24.png"/><Relationship Id="rId53" Type="http://schemas.openxmlformats.org/officeDocument/2006/relationships/image" Target="media/image32.jpe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hyperlink" Target="http://oiswww.eumetsat.org/WEBOPS/msg_interpretation/index.php" TargetMode="External"/><Relationship Id="rId79" Type="http://schemas.openxmlformats.org/officeDocument/2006/relationships/hyperlink" Target="http://www.goes-r.gov/resources/docs.html" TargetMode="External"/><Relationship Id="rId87" Type="http://schemas.openxmlformats.org/officeDocument/2006/relationships/hyperlink" Target="http://www.data.jma.go.jp/mscweb/en/himawari89/cloud_service/fig/Brief_technical_information_on_accessing_HimawariCloud.pdf" TargetMode="External"/><Relationship Id="rId5" Type="http://schemas.openxmlformats.org/officeDocument/2006/relationships/webSettings" Target="webSettings.xml"/><Relationship Id="rId61" Type="http://schemas.openxmlformats.org/officeDocument/2006/relationships/image" Target="media/image39.emf"/><Relationship Id="rId82" Type="http://schemas.openxmlformats.org/officeDocument/2006/relationships/image" Target="media/image53.png"/><Relationship Id="rId90" Type="http://schemas.openxmlformats.org/officeDocument/2006/relationships/hyperlink" Target="http://doi.org/10.1175/1520-0426(2002)019%3c1233:RCOOAR%3e2.0.CO;2" TargetMode="External"/><Relationship Id="rId19" Type="http://schemas.openxmlformats.org/officeDocument/2006/relationships/image" Target="media/image4.emf"/><Relationship Id="rId14" Type="http://schemas.openxmlformats.org/officeDocument/2006/relationships/footer" Target="footer4.xml"/><Relationship Id="rId22" Type="http://schemas.openxmlformats.org/officeDocument/2006/relationships/image" Target="media/image7.png"/><Relationship Id="rId27" Type="http://schemas.openxmlformats.org/officeDocument/2006/relationships/image" Target="media/image9.emf"/><Relationship Id="rId30" Type="http://schemas.openxmlformats.org/officeDocument/2006/relationships/image" Target="media/image12.jpeg"/><Relationship Id="rId35" Type="http://schemas.openxmlformats.org/officeDocument/2006/relationships/image" Target="media/image15.emf"/><Relationship Id="rId43" Type="http://schemas.openxmlformats.org/officeDocument/2006/relationships/image" Target="media/image22.emf"/><Relationship Id="rId48" Type="http://schemas.openxmlformats.org/officeDocument/2006/relationships/image" Target="media/image27.png"/><Relationship Id="rId56" Type="http://schemas.openxmlformats.org/officeDocument/2006/relationships/image" Target="media/image34.jpeg"/><Relationship Id="rId64" Type="http://schemas.openxmlformats.org/officeDocument/2006/relationships/image" Target="media/image42.emf"/><Relationship Id="rId69" Type="http://schemas.openxmlformats.org/officeDocument/2006/relationships/image" Target="media/image47.jpeg"/><Relationship Id="rId77" Type="http://schemas.openxmlformats.org/officeDocument/2006/relationships/hyperlink" Target="http://www5.bom.gov.au/files/7013/5580/7378/RGBWebinarforWebNoRefs.pdf" TargetMode="External"/><Relationship Id="rId8" Type="http://schemas.openxmlformats.org/officeDocument/2006/relationships/image" Target="media/image1.wmf"/><Relationship Id="rId51" Type="http://schemas.openxmlformats.org/officeDocument/2006/relationships/image" Target="media/image30.emf"/><Relationship Id="rId72" Type="http://schemas.openxmlformats.org/officeDocument/2006/relationships/image" Target="media/image50.emf"/><Relationship Id="rId80" Type="http://schemas.openxmlformats.org/officeDocument/2006/relationships/hyperlink" Target="http://www.eumetsat.int/website/home/Satellites/FutureSatellites/MeteosatThirdGeneration/MTGResources/index.html" TargetMode="External"/><Relationship Id="rId85" Type="http://schemas.openxmlformats.org/officeDocument/2006/relationships/hyperlink" Target="http://www.independent.co.uk/news/world/africa/the-great-drought-disaster-looms-in-east-africa-1797003.html"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hyperlink" Target="http://www.goes-r.gov/users/hrit.html" TargetMode="External"/><Relationship Id="rId33" Type="http://schemas.openxmlformats.org/officeDocument/2006/relationships/hyperlink" Target="http://geo-cape.larc.nasa.gov/docs/OceanSTMv4_7_30July2015.pdf" TargetMode="External"/><Relationship Id="rId38" Type="http://schemas.openxmlformats.org/officeDocument/2006/relationships/image" Target="media/image18.emf"/><Relationship Id="rId46" Type="http://schemas.openxmlformats.org/officeDocument/2006/relationships/image" Target="media/image25.png"/><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png"/><Relationship Id="rId41" Type="http://schemas.openxmlformats.org/officeDocument/2006/relationships/image" Target="media/image21.tiff"/><Relationship Id="rId54" Type="http://schemas.openxmlformats.org/officeDocument/2006/relationships/image" Target="media/image33.emf"/><Relationship Id="rId62" Type="http://schemas.openxmlformats.org/officeDocument/2006/relationships/image" Target="media/image40.png"/><Relationship Id="rId70" Type="http://schemas.openxmlformats.org/officeDocument/2006/relationships/image" Target="media/image48.jpeg"/><Relationship Id="rId75" Type="http://schemas.openxmlformats.org/officeDocument/2006/relationships/hyperlink" Target="http://oiswww.eumetsat.int/~idds/html/doc/best_practices.pdf" TargetMode="External"/><Relationship Id="rId83" Type="http://schemas.openxmlformats.org/officeDocument/2006/relationships/hyperlink" Target="http://geoapplications.org" TargetMode="External"/><Relationship Id="rId88" Type="http://schemas.openxmlformats.org/officeDocument/2006/relationships/hyperlink" Target="http://www.data.jma.go.jp/mscweb/en/himawari89/himawari_cast/transition.html" TargetMode="External"/><Relationship Id="rId9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8.jpeg"/><Relationship Id="rId28" Type="http://schemas.openxmlformats.org/officeDocument/2006/relationships/image" Target="media/image10.jpeg"/><Relationship Id="rId36" Type="http://schemas.openxmlformats.org/officeDocument/2006/relationships/image" Target="media/image16.emf"/><Relationship Id="rId49" Type="http://schemas.openxmlformats.org/officeDocument/2006/relationships/image" Target="media/image28.jpeg"/><Relationship Id="rId57" Type="http://schemas.openxmlformats.org/officeDocument/2006/relationships/image" Target="media/image35.tiff"/><Relationship Id="rId10" Type="http://schemas.openxmlformats.org/officeDocument/2006/relationships/header" Target="header1.xml"/><Relationship Id="rId31" Type="http://schemas.openxmlformats.org/officeDocument/2006/relationships/hyperlink" Target="http://tempo.si.edu/index.html" TargetMode="External"/><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emf"/><Relationship Id="rId78" Type="http://schemas.openxmlformats.org/officeDocument/2006/relationships/hyperlink" Target="https://www.meted.ucar.edu/training_module.php?id=568" TargetMode="External"/><Relationship Id="rId81" Type="http://schemas.openxmlformats.org/officeDocument/2006/relationships/image" Target="media/image52.png"/><Relationship Id="rId86" Type="http://schemas.openxmlformats.org/officeDocument/2006/relationships/hyperlink" Target="http://www.data.jma.go.jp/mscweb/en/himawari89/cloud_service/cloud_service.html" TargetMode="External"/><Relationship Id="rId4" Type="http://schemas.openxmlformats.org/officeDocument/2006/relationships/settings" Target="settings.xml"/><Relationship Id="rId9" Type="http://schemas.openxmlformats.org/officeDocument/2006/relationships/footer" Target="footer1.xml"/></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www.wmo-sat.info/oscar/instruments/view/232" TargetMode="External"/><Relationship Id="rId1" Type="http://schemas.openxmlformats.org/officeDocument/2006/relationships/hyperlink" Target="http://www.wmo-sat.info/oscar/instruments/view/58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CC4FD7-8A99-4004-89CF-B6E30B2D2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746</TotalTime>
  <Pages>71</Pages>
  <Words>24633</Words>
  <Characters>152018</Characters>
  <Application>Microsoft Office Word</Application>
  <DocSecurity>0</DocSecurity>
  <Lines>1266</Lines>
  <Paragraphs>352</Paragraphs>
  <ScaleCrop>false</ScaleCrop>
  <HeadingPairs>
    <vt:vector size="2" baseType="variant">
      <vt:variant>
        <vt:lpstr>Title</vt:lpstr>
      </vt:variant>
      <vt:variant>
        <vt:i4>1</vt:i4>
      </vt:variant>
    </vt:vector>
  </HeadingPairs>
  <TitlesOfParts>
    <vt:vector size="1" baseType="lpstr">
      <vt:lpstr>Report re Report Title</vt:lpstr>
    </vt:vector>
  </TitlesOfParts>
  <Company>CSIRO</Company>
  <LinksUpToDate>false</LinksUpToDate>
  <CharactersWithSpaces>176299</CharactersWithSpaces>
  <SharedDoc>false</SharedDoc>
  <HLinks>
    <vt:vector size="204" baseType="variant">
      <vt:variant>
        <vt:i4>6815767</vt:i4>
      </vt:variant>
      <vt:variant>
        <vt:i4>222</vt:i4>
      </vt:variant>
      <vt:variant>
        <vt:i4>0</vt:i4>
      </vt:variant>
      <vt:variant>
        <vt:i4>5</vt:i4>
      </vt:variant>
      <vt:variant>
        <vt:lpwstr>http://www.data.jma.go.jp/mscweb/en/himawari89/himawari_cast/transition.html</vt:lpwstr>
      </vt:variant>
      <vt:variant>
        <vt:lpwstr/>
      </vt:variant>
      <vt:variant>
        <vt:i4>2752563</vt:i4>
      </vt:variant>
      <vt:variant>
        <vt:i4>219</vt:i4>
      </vt:variant>
      <vt:variant>
        <vt:i4>0</vt:i4>
      </vt:variant>
      <vt:variant>
        <vt:i4>5</vt:i4>
      </vt:variant>
      <vt:variant>
        <vt:lpwstr>http://www.data.jma.go.jp/mscweb/en/himawari89/cloud_service/fig/Brief_technical_information_on_accessing_HimawariCloud.pdf</vt:lpwstr>
      </vt:variant>
      <vt:variant>
        <vt:lpwstr/>
      </vt:variant>
      <vt:variant>
        <vt:i4>7077930</vt:i4>
      </vt:variant>
      <vt:variant>
        <vt:i4>216</vt:i4>
      </vt:variant>
      <vt:variant>
        <vt:i4>0</vt:i4>
      </vt:variant>
      <vt:variant>
        <vt:i4>5</vt:i4>
      </vt:variant>
      <vt:variant>
        <vt:lpwstr>http://www.data.jma.go.jp/mscweb/en/himawari89/cloud_service/cloud_service.html</vt:lpwstr>
      </vt:variant>
      <vt:variant>
        <vt:lpwstr/>
      </vt:variant>
      <vt:variant>
        <vt:i4>7733307</vt:i4>
      </vt:variant>
      <vt:variant>
        <vt:i4>204</vt:i4>
      </vt:variant>
      <vt:variant>
        <vt:i4>0</vt:i4>
      </vt:variant>
      <vt:variant>
        <vt:i4>5</vt:i4>
      </vt:variant>
      <vt:variant>
        <vt:lpwstr>http://tempo.si.edu/index.html</vt:lpwstr>
      </vt:variant>
      <vt:variant>
        <vt:lpwstr/>
      </vt:variant>
      <vt:variant>
        <vt:i4>7012475</vt:i4>
      </vt:variant>
      <vt:variant>
        <vt:i4>192</vt:i4>
      </vt:variant>
      <vt:variant>
        <vt:i4>0</vt:i4>
      </vt:variant>
      <vt:variant>
        <vt:i4>5</vt:i4>
      </vt:variant>
      <vt:variant>
        <vt:lpwstr>http://www.geonetcastamericas.noaa.gov/</vt:lpwstr>
      </vt:variant>
      <vt:variant>
        <vt:lpwstr/>
      </vt:variant>
      <vt:variant>
        <vt:i4>4653079</vt:i4>
      </vt:variant>
      <vt:variant>
        <vt:i4>189</vt:i4>
      </vt:variant>
      <vt:variant>
        <vt:i4>0</vt:i4>
      </vt:variant>
      <vt:variant>
        <vt:i4>5</vt:i4>
      </vt:variant>
      <vt:variant>
        <vt:lpwstr>http://www.goes-r.gov/users/hrit.html</vt:lpwstr>
      </vt:variant>
      <vt:variant>
        <vt:lpwstr/>
      </vt:variant>
      <vt:variant>
        <vt:i4>76</vt:i4>
      </vt:variant>
      <vt:variant>
        <vt:i4>186</vt:i4>
      </vt:variant>
      <vt:variant>
        <vt:i4>0</vt:i4>
      </vt:variant>
      <vt:variant>
        <vt:i4>5</vt:i4>
      </vt:variant>
      <vt:variant>
        <vt:lpwstr>http://www.goes-r.gov/users/grb.html</vt:lpwstr>
      </vt:variant>
      <vt:variant>
        <vt:lpwstr/>
      </vt:variant>
      <vt:variant>
        <vt:i4>1376308</vt:i4>
      </vt:variant>
      <vt:variant>
        <vt:i4>170</vt:i4>
      </vt:variant>
      <vt:variant>
        <vt:i4>0</vt:i4>
      </vt:variant>
      <vt:variant>
        <vt:i4>5</vt:i4>
      </vt:variant>
      <vt:variant>
        <vt:lpwstr/>
      </vt:variant>
      <vt:variant>
        <vt:lpwstr>_Toc316902188</vt:lpwstr>
      </vt:variant>
      <vt:variant>
        <vt:i4>1507391</vt:i4>
      </vt:variant>
      <vt:variant>
        <vt:i4>161</vt:i4>
      </vt:variant>
      <vt:variant>
        <vt:i4>0</vt:i4>
      </vt:variant>
      <vt:variant>
        <vt:i4>5</vt:i4>
      </vt:variant>
      <vt:variant>
        <vt:lpwstr/>
      </vt:variant>
      <vt:variant>
        <vt:lpwstr>_Toc455395739</vt:lpwstr>
      </vt:variant>
      <vt:variant>
        <vt:i4>1507391</vt:i4>
      </vt:variant>
      <vt:variant>
        <vt:i4>155</vt:i4>
      </vt:variant>
      <vt:variant>
        <vt:i4>0</vt:i4>
      </vt:variant>
      <vt:variant>
        <vt:i4>5</vt:i4>
      </vt:variant>
      <vt:variant>
        <vt:lpwstr/>
      </vt:variant>
      <vt:variant>
        <vt:lpwstr>_Toc455395738</vt:lpwstr>
      </vt:variant>
      <vt:variant>
        <vt:i4>1376308</vt:i4>
      </vt:variant>
      <vt:variant>
        <vt:i4>146</vt:i4>
      </vt:variant>
      <vt:variant>
        <vt:i4>0</vt:i4>
      </vt:variant>
      <vt:variant>
        <vt:i4>5</vt:i4>
      </vt:variant>
      <vt:variant>
        <vt:lpwstr/>
      </vt:variant>
      <vt:variant>
        <vt:lpwstr>_Toc316902187</vt:lpwstr>
      </vt:variant>
      <vt:variant>
        <vt:i4>1245237</vt:i4>
      </vt:variant>
      <vt:variant>
        <vt:i4>137</vt:i4>
      </vt:variant>
      <vt:variant>
        <vt:i4>0</vt:i4>
      </vt:variant>
      <vt:variant>
        <vt:i4>5</vt:i4>
      </vt:variant>
      <vt:variant>
        <vt:lpwstr/>
      </vt:variant>
      <vt:variant>
        <vt:lpwstr>_Toc455407429</vt:lpwstr>
      </vt:variant>
      <vt:variant>
        <vt:i4>1245237</vt:i4>
      </vt:variant>
      <vt:variant>
        <vt:i4>131</vt:i4>
      </vt:variant>
      <vt:variant>
        <vt:i4>0</vt:i4>
      </vt:variant>
      <vt:variant>
        <vt:i4>5</vt:i4>
      </vt:variant>
      <vt:variant>
        <vt:lpwstr/>
      </vt:variant>
      <vt:variant>
        <vt:lpwstr>_Toc455407428</vt:lpwstr>
      </vt:variant>
      <vt:variant>
        <vt:i4>1245237</vt:i4>
      </vt:variant>
      <vt:variant>
        <vt:i4>125</vt:i4>
      </vt:variant>
      <vt:variant>
        <vt:i4>0</vt:i4>
      </vt:variant>
      <vt:variant>
        <vt:i4>5</vt:i4>
      </vt:variant>
      <vt:variant>
        <vt:lpwstr/>
      </vt:variant>
      <vt:variant>
        <vt:lpwstr>_Toc455407427</vt:lpwstr>
      </vt:variant>
      <vt:variant>
        <vt:i4>1245237</vt:i4>
      </vt:variant>
      <vt:variant>
        <vt:i4>119</vt:i4>
      </vt:variant>
      <vt:variant>
        <vt:i4>0</vt:i4>
      </vt:variant>
      <vt:variant>
        <vt:i4>5</vt:i4>
      </vt:variant>
      <vt:variant>
        <vt:lpwstr/>
      </vt:variant>
      <vt:variant>
        <vt:lpwstr>_Toc455407426</vt:lpwstr>
      </vt:variant>
      <vt:variant>
        <vt:i4>1245237</vt:i4>
      </vt:variant>
      <vt:variant>
        <vt:i4>113</vt:i4>
      </vt:variant>
      <vt:variant>
        <vt:i4>0</vt:i4>
      </vt:variant>
      <vt:variant>
        <vt:i4>5</vt:i4>
      </vt:variant>
      <vt:variant>
        <vt:lpwstr/>
      </vt:variant>
      <vt:variant>
        <vt:lpwstr>_Toc455407425</vt:lpwstr>
      </vt:variant>
      <vt:variant>
        <vt:i4>1245237</vt:i4>
      </vt:variant>
      <vt:variant>
        <vt:i4>107</vt:i4>
      </vt:variant>
      <vt:variant>
        <vt:i4>0</vt:i4>
      </vt:variant>
      <vt:variant>
        <vt:i4>5</vt:i4>
      </vt:variant>
      <vt:variant>
        <vt:lpwstr/>
      </vt:variant>
      <vt:variant>
        <vt:lpwstr>_Toc455407424</vt:lpwstr>
      </vt:variant>
      <vt:variant>
        <vt:i4>1245237</vt:i4>
      </vt:variant>
      <vt:variant>
        <vt:i4>101</vt:i4>
      </vt:variant>
      <vt:variant>
        <vt:i4>0</vt:i4>
      </vt:variant>
      <vt:variant>
        <vt:i4>5</vt:i4>
      </vt:variant>
      <vt:variant>
        <vt:lpwstr/>
      </vt:variant>
      <vt:variant>
        <vt:lpwstr>_Toc455407423</vt:lpwstr>
      </vt:variant>
      <vt:variant>
        <vt:i4>1507385</vt:i4>
      </vt:variant>
      <vt:variant>
        <vt:i4>92</vt:i4>
      </vt:variant>
      <vt:variant>
        <vt:i4>0</vt:i4>
      </vt:variant>
      <vt:variant>
        <vt:i4>5</vt:i4>
      </vt:variant>
      <vt:variant>
        <vt:lpwstr/>
      </vt:variant>
      <vt:variant>
        <vt:lpwstr>_Toc455408893</vt:lpwstr>
      </vt:variant>
      <vt:variant>
        <vt:i4>1507385</vt:i4>
      </vt:variant>
      <vt:variant>
        <vt:i4>86</vt:i4>
      </vt:variant>
      <vt:variant>
        <vt:i4>0</vt:i4>
      </vt:variant>
      <vt:variant>
        <vt:i4>5</vt:i4>
      </vt:variant>
      <vt:variant>
        <vt:lpwstr/>
      </vt:variant>
      <vt:variant>
        <vt:lpwstr>_Toc455408892</vt:lpwstr>
      </vt:variant>
      <vt:variant>
        <vt:i4>1507385</vt:i4>
      </vt:variant>
      <vt:variant>
        <vt:i4>80</vt:i4>
      </vt:variant>
      <vt:variant>
        <vt:i4>0</vt:i4>
      </vt:variant>
      <vt:variant>
        <vt:i4>5</vt:i4>
      </vt:variant>
      <vt:variant>
        <vt:lpwstr/>
      </vt:variant>
      <vt:variant>
        <vt:lpwstr>_Toc455408891</vt:lpwstr>
      </vt:variant>
      <vt:variant>
        <vt:i4>1507385</vt:i4>
      </vt:variant>
      <vt:variant>
        <vt:i4>74</vt:i4>
      </vt:variant>
      <vt:variant>
        <vt:i4>0</vt:i4>
      </vt:variant>
      <vt:variant>
        <vt:i4>5</vt:i4>
      </vt:variant>
      <vt:variant>
        <vt:lpwstr/>
      </vt:variant>
      <vt:variant>
        <vt:lpwstr>_Toc455408890</vt:lpwstr>
      </vt:variant>
      <vt:variant>
        <vt:i4>1441849</vt:i4>
      </vt:variant>
      <vt:variant>
        <vt:i4>68</vt:i4>
      </vt:variant>
      <vt:variant>
        <vt:i4>0</vt:i4>
      </vt:variant>
      <vt:variant>
        <vt:i4>5</vt:i4>
      </vt:variant>
      <vt:variant>
        <vt:lpwstr/>
      </vt:variant>
      <vt:variant>
        <vt:lpwstr>_Toc455408889</vt:lpwstr>
      </vt:variant>
      <vt:variant>
        <vt:i4>1441849</vt:i4>
      </vt:variant>
      <vt:variant>
        <vt:i4>62</vt:i4>
      </vt:variant>
      <vt:variant>
        <vt:i4>0</vt:i4>
      </vt:variant>
      <vt:variant>
        <vt:i4>5</vt:i4>
      </vt:variant>
      <vt:variant>
        <vt:lpwstr/>
      </vt:variant>
      <vt:variant>
        <vt:lpwstr>_Toc455408888</vt:lpwstr>
      </vt:variant>
      <vt:variant>
        <vt:i4>1441849</vt:i4>
      </vt:variant>
      <vt:variant>
        <vt:i4>56</vt:i4>
      </vt:variant>
      <vt:variant>
        <vt:i4>0</vt:i4>
      </vt:variant>
      <vt:variant>
        <vt:i4>5</vt:i4>
      </vt:variant>
      <vt:variant>
        <vt:lpwstr/>
      </vt:variant>
      <vt:variant>
        <vt:lpwstr>_Toc455408887</vt:lpwstr>
      </vt:variant>
      <vt:variant>
        <vt:i4>1441849</vt:i4>
      </vt:variant>
      <vt:variant>
        <vt:i4>50</vt:i4>
      </vt:variant>
      <vt:variant>
        <vt:i4>0</vt:i4>
      </vt:variant>
      <vt:variant>
        <vt:i4>5</vt:i4>
      </vt:variant>
      <vt:variant>
        <vt:lpwstr/>
      </vt:variant>
      <vt:variant>
        <vt:lpwstr>_Toc455408886</vt:lpwstr>
      </vt:variant>
      <vt:variant>
        <vt:i4>1441849</vt:i4>
      </vt:variant>
      <vt:variant>
        <vt:i4>44</vt:i4>
      </vt:variant>
      <vt:variant>
        <vt:i4>0</vt:i4>
      </vt:variant>
      <vt:variant>
        <vt:i4>5</vt:i4>
      </vt:variant>
      <vt:variant>
        <vt:lpwstr/>
      </vt:variant>
      <vt:variant>
        <vt:lpwstr>_Toc455408885</vt:lpwstr>
      </vt:variant>
      <vt:variant>
        <vt:i4>1441849</vt:i4>
      </vt:variant>
      <vt:variant>
        <vt:i4>38</vt:i4>
      </vt:variant>
      <vt:variant>
        <vt:i4>0</vt:i4>
      </vt:variant>
      <vt:variant>
        <vt:i4>5</vt:i4>
      </vt:variant>
      <vt:variant>
        <vt:lpwstr/>
      </vt:variant>
      <vt:variant>
        <vt:lpwstr>_Toc455408884</vt:lpwstr>
      </vt:variant>
      <vt:variant>
        <vt:i4>1441849</vt:i4>
      </vt:variant>
      <vt:variant>
        <vt:i4>32</vt:i4>
      </vt:variant>
      <vt:variant>
        <vt:i4>0</vt:i4>
      </vt:variant>
      <vt:variant>
        <vt:i4>5</vt:i4>
      </vt:variant>
      <vt:variant>
        <vt:lpwstr/>
      </vt:variant>
      <vt:variant>
        <vt:lpwstr>_Toc455408883</vt:lpwstr>
      </vt:variant>
      <vt:variant>
        <vt:i4>1441849</vt:i4>
      </vt:variant>
      <vt:variant>
        <vt:i4>26</vt:i4>
      </vt:variant>
      <vt:variant>
        <vt:i4>0</vt:i4>
      </vt:variant>
      <vt:variant>
        <vt:i4>5</vt:i4>
      </vt:variant>
      <vt:variant>
        <vt:lpwstr/>
      </vt:variant>
      <vt:variant>
        <vt:lpwstr>_Toc455408882</vt:lpwstr>
      </vt:variant>
      <vt:variant>
        <vt:i4>1441849</vt:i4>
      </vt:variant>
      <vt:variant>
        <vt:i4>20</vt:i4>
      </vt:variant>
      <vt:variant>
        <vt:i4>0</vt:i4>
      </vt:variant>
      <vt:variant>
        <vt:i4>5</vt:i4>
      </vt:variant>
      <vt:variant>
        <vt:lpwstr/>
      </vt:variant>
      <vt:variant>
        <vt:lpwstr>_Toc455408881</vt:lpwstr>
      </vt:variant>
      <vt:variant>
        <vt:i4>1441849</vt:i4>
      </vt:variant>
      <vt:variant>
        <vt:i4>14</vt:i4>
      </vt:variant>
      <vt:variant>
        <vt:i4>0</vt:i4>
      </vt:variant>
      <vt:variant>
        <vt:i4>5</vt:i4>
      </vt:variant>
      <vt:variant>
        <vt:lpwstr/>
      </vt:variant>
      <vt:variant>
        <vt:lpwstr>_Toc455408880</vt:lpwstr>
      </vt:variant>
      <vt:variant>
        <vt:i4>1638457</vt:i4>
      </vt:variant>
      <vt:variant>
        <vt:i4>8</vt:i4>
      </vt:variant>
      <vt:variant>
        <vt:i4>0</vt:i4>
      </vt:variant>
      <vt:variant>
        <vt:i4>5</vt:i4>
      </vt:variant>
      <vt:variant>
        <vt:lpwstr/>
      </vt:variant>
      <vt:variant>
        <vt:lpwstr>_Toc455408879</vt:lpwstr>
      </vt:variant>
      <vt:variant>
        <vt:i4>1638457</vt:i4>
      </vt:variant>
      <vt:variant>
        <vt:i4>2</vt:i4>
      </vt:variant>
      <vt:variant>
        <vt:i4>0</vt:i4>
      </vt:variant>
      <vt:variant>
        <vt:i4>5</vt:i4>
      </vt:variant>
      <vt:variant>
        <vt:lpwstr/>
      </vt:variant>
      <vt:variant>
        <vt:lpwstr>_Toc455408878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re Report Title</dc:title>
  <dc:creator>TS</dc:creator>
  <cp:lastModifiedBy>TS</cp:lastModifiedBy>
  <cp:revision>45</cp:revision>
  <cp:lastPrinted>2016-09-06T03:52:00Z</cp:lastPrinted>
  <dcterms:created xsi:type="dcterms:W3CDTF">2016-09-05T02:08:00Z</dcterms:created>
  <dcterms:modified xsi:type="dcterms:W3CDTF">2016-09-06T03:53:00Z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verTitle">
    <vt:lpwstr>Report Title</vt:lpwstr>
  </property>
  <property fmtid="{D5CDD505-2E9C-101B-9397-08002B2CF9AE}" pid="3" name="CoverSubtitle">
    <vt:lpwstr>Cover Subtitle</vt:lpwstr>
  </property>
  <property fmtid="{D5CDD505-2E9C-101B-9397-08002B2CF9AE}" pid="4" name="ContentTypeId">
    <vt:lpwstr>0x010100529B7581109BE041A80104B7BC62AE32</vt:lpwstr>
  </property>
</Properties>
</file>