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pPr>
      <w:r w:rsidDel="00000000" w:rsidR="00000000" w:rsidRPr="00000000">
        <w:rPr>
          <w:rFonts w:ascii="Calibri" w:cs="Calibri" w:eastAsia="Calibri" w:hAnsi="Calibri"/>
          <w:b w:val="1"/>
          <w:sz w:val="22"/>
          <w:szCs w:val="22"/>
          <w:rtl w:val="0"/>
        </w:rPr>
        <w:t xml:space="preserve">SDCG-13 Actions</w:t>
      </w:r>
      <w:r w:rsidDel="00000000" w:rsidR="00000000" w:rsidRPr="00000000">
        <w:rPr>
          <w:rtl w:val="0"/>
        </w:rPr>
      </w:r>
    </w:p>
    <w:p w:rsidR="00000000" w:rsidDel="00000000" w:rsidP="00000000" w:rsidRDefault="00000000" w:rsidRPr="00000000" w14:paraId="00000002">
      <w:pPr>
        <w:contextualSpacing w:val="0"/>
        <w:jc w:val="center"/>
        <w:rPr/>
      </w:pPr>
      <w:r w:rsidDel="00000000" w:rsidR="00000000" w:rsidRPr="00000000">
        <w:rPr>
          <w:rFonts w:ascii="Calibri" w:cs="Calibri" w:eastAsia="Calibri" w:hAnsi="Calibri"/>
          <w:sz w:val="22"/>
          <w:szCs w:val="22"/>
          <w:rtl w:val="0"/>
        </w:rPr>
        <w:t xml:space="preserve">V1.0</w:t>
      </w: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tbl>
      <w:tblPr>
        <w:tblStyle w:val="Table1"/>
        <w:tblW w:w="10402.0" w:type="dxa"/>
        <w:jc w:val="left"/>
        <w:tblInd w:w="-9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6"/>
        <w:gridCol w:w="5448"/>
        <w:gridCol w:w="3408"/>
        <w:tblGridChange w:id="0">
          <w:tblGrid>
            <w:gridCol w:w="1546"/>
            <w:gridCol w:w="5448"/>
            <w:gridCol w:w="3408"/>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04">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05">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Action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06">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Due date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07">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Ake to follow-up with Joanne and Alex Held on including details of NovaSAR data access in the SDCG R&amp;D data access procedures.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9">
            <w:pPr>
              <w:spacing w:after="40" w:before="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SDCG-14</w:t>
            </w:r>
          </w:p>
        </w:tc>
      </w:tr>
      <w:tr>
        <w:trPr>
          <w:trHeight w:val="380" w:hRule="atLeast"/>
        </w:trP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0A">
            <w:pPr>
              <w:spacing w:after="40" w:before="40" w:lineRule="auto"/>
              <w:contextualSpacing w:val="0"/>
              <w:jc w:val="center"/>
              <w:rPr>
                <w:sz w:val="22"/>
                <w:szCs w:val="22"/>
              </w:rPr>
            </w:pPr>
            <w:bookmarkStart w:colFirst="0" w:colLast="0" w:name="_gjdgxs" w:id="0"/>
            <w:bookmarkEnd w:id="0"/>
            <w:r w:rsidDel="00000000" w:rsidR="00000000" w:rsidRPr="00000000">
              <w:rPr>
                <w:rFonts w:ascii="Calibri" w:cs="Calibri" w:eastAsia="Calibri" w:hAnsi="Calibri"/>
                <w:b w:val="1"/>
                <w:color w:val="dbe5f1"/>
                <w:sz w:val="22"/>
                <w:szCs w:val="22"/>
                <w:rtl w:val="0"/>
              </w:rPr>
              <w:t xml:space="preserve">SDCG-13-02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Frank Martin, Ake &amp; Martin Herold to work with agencies who have contributed to Element 3 during GFOI Phase 1 to develop a brief strategy paper (2-3 pages) describing the space agency approach to GFOI R&amp;D Coordination Component in GFOI Phase 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spacing w:after="40" w:before="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April 2018</w:t>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0D">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SDCG EXEC to draft a discussion paper on how SDCG and the GFOI Data Component will interact for GFOI Phase 2. For consideration by the community, including CEOS (SIT-33), and also the GFOI Leads.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spacing w:after="40" w:before="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April 2018</w:t>
            </w:r>
          </w:p>
          <w:p w:rsidR="00000000" w:rsidDel="00000000" w:rsidP="00000000" w:rsidRDefault="00000000" w:rsidRPr="00000000" w14:paraId="00000010">
            <w:pPr>
              <w:spacing w:after="40" w:before="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(Draft for SIT-33 22-24 April)</w:t>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11">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SDCG Co-Chairs to draft a communication congratulating JAXA on the recent changes to their data policy towards free and open access for some products. (CEOS Plenary </w:t>
            </w:r>
            <w:hyperlink r:id="rId6">
              <w:r w:rsidDel="00000000" w:rsidR="00000000" w:rsidRPr="00000000">
                <w:rPr>
                  <w:rFonts w:ascii="Calibri" w:cs="Calibri" w:eastAsia="Calibri" w:hAnsi="Calibri"/>
                  <w:color w:val="1155cc"/>
                  <w:sz w:val="22"/>
                  <w:szCs w:val="22"/>
                  <w:u w:val="single"/>
                  <w:rtl w:val="0"/>
                </w:rPr>
                <w:t xml:space="preserve">Presentation</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April 2018</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14">
            <w:pPr>
              <w:spacing w:after="40" w:before="40" w:lineRule="auto"/>
              <w:contextualSpacing w:val="0"/>
              <w:jc w:val="center"/>
              <w:rPr>
                <w:rFonts w:ascii="Calibri" w:cs="Calibri" w:eastAsia="Calibri" w:hAnsi="Calibri"/>
                <w:b w:val="1"/>
                <w:color w:val="dbe5f1"/>
                <w:sz w:val="22"/>
                <w:szCs w:val="22"/>
              </w:rPr>
            </w:pPr>
            <w:r w:rsidDel="00000000" w:rsidR="00000000" w:rsidRPr="00000000">
              <w:rPr>
                <w:rFonts w:ascii="Calibri" w:cs="Calibri" w:eastAsia="Calibri" w:hAnsi="Calibri"/>
                <w:b w:val="1"/>
                <w:color w:val="dbe5f1"/>
                <w:sz w:val="22"/>
                <w:szCs w:val="22"/>
                <w:rtl w:val="0"/>
              </w:rPr>
              <w:t xml:space="preserve">SDCG-13-05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Ake to follow-up with INPE (Joao Soares) on extended CBERS-4 coverage of South America.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spacing w:after="40" w:before="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SDCG-14</w:t>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17">
            <w:pPr>
              <w:spacing w:after="40" w:before="40" w:lineRule="auto"/>
              <w:contextualSpacing w:val="0"/>
              <w:jc w:val="center"/>
              <w:rPr>
                <w:rFonts w:ascii="Calibri" w:cs="Calibri" w:eastAsia="Calibri" w:hAnsi="Calibri"/>
                <w:b w:val="1"/>
                <w:color w:val="dbe5f1"/>
                <w:sz w:val="22"/>
                <w:szCs w:val="22"/>
              </w:rPr>
            </w:pPr>
            <w:r w:rsidDel="00000000" w:rsidR="00000000" w:rsidRPr="00000000">
              <w:rPr>
                <w:rFonts w:ascii="Calibri" w:cs="Calibri" w:eastAsia="Calibri" w:hAnsi="Calibri"/>
                <w:b w:val="1"/>
                <w:color w:val="dbe5f1"/>
                <w:sz w:val="22"/>
                <w:szCs w:val="22"/>
                <w:rtl w:val="0"/>
              </w:rPr>
              <w:t xml:space="preserve">SDCG-13-06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SDCG EXEC to follow-up with CONAE (Laura F) at SIT-33 about the prospects for SAOCOM ARD compliance for general use, and also with a view to SDCG/GFOI uptake.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SIT-33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1A">
            <w:pPr>
              <w:spacing w:after="40" w:before="40" w:lineRule="auto"/>
              <w:contextualSpacing w:val="0"/>
              <w:jc w:val="center"/>
              <w:rPr>
                <w:rFonts w:ascii="Calibri" w:cs="Calibri" w:eastAsia="Calibri" w:hAnsi="Calibri"/>
                <w:b w:val="1"/>
                <w:color w:val="dbe5f1"/>
                <w:sz w:val="22"/>
                <w:szCs w:val="22"/>
              </w:rPr>
            </w:pPr>
            <w:r w:rsidDel="00000000" w:rsidR="00000000" w:rsidRPr="00000000">
              <w:rPr>
                <w:rFonts w:ascii="Calibri" w:cs="Calibri" w:eastAsia="Calibri" w:hAnsi="Calibri"/>
                <w:b w:val="1"/>
                <w:color w:val="dbe5f1"/>
                <w:sz w:val="22"/>
                <w:szCs w:val="22"/>
                <w:rtl w:val="0"/>
              </w:rPr>
              <w:t xml:space="preserve">SDCG-13-07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Osamu to lead the drafting of a proposal for SDCG EXEC to engage CEOS agencies in a Global Baseline strategy for biomass estimation missions.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spacing w:after="40" w:before="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April 2018</w:t>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1D">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Brian to compile a list of datasets (including ARD), algorithms, and tools relevant for GFOI and MGD workflows as examples to inform the SDCG approach to GFOI Phase 2. (Check old space data services guide PDF.)</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June 2018</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20">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Brian and Joanne to follow-up with Planet on an ARD assessment of their new Surface Reflectance product (</w:t>
            </w:r>
            <w:hyperlink r:id="rId7">
              <w:r w:rsidDel="00000000" w:rsidR="00000000" w:rsidRPr="00000000">
                <w:rPr>
                  <w:rFonts w:ascii="Calibri" w:cs="Calibri" w:eastAsia="Calibri" w:hAnsi="Calibri"/>
                  <w:color w:val="1155cc"/>
                  <w:sz w:val="22"/>
                  <w:szCs w:val="22"/>
                  <w:u w:val="single"/>
                  <w:rtl w:val="0"/>
                </w:rPr>
                <w:t xml:space="preserve">here</w:t>
              </w:r>
            </w:hyperlink>
            <w:r w:rsidDel="00000000" w:rsidR="00000000" w:rsidRPr="00000000">
              <w:rPr>
                <w:rFonts w:ascii="Calibri" w:cs="Calibri" w:eastAsia="Calibri" w:hAnsi="Calibri"/>
                <w:sz w:val="22"/>
                <w:szCs w:val="22"/>
                <w:rtl w:val="0"/>
              </w:rPr>
              <w:t xml:space="preserve"> and </w:t>
            </w:r>
            <w:hyperlink r:id="rId8">
              <w:r w:rsidDel="00000000" w:rsidR="00000000" w:rsidRPr="00000000">
                <w:rPr>
                  <w:rFonts w:ascii="Calibri" w:cs="Calibri" w:eastAsia="Calibri" w:hAnsi="Calibri"/>
                  <w:color w:val="1155cc"/>
                  <w:sz w:val="22"/>
                  <w:szCs w:val="22"/>
                  <w:u w:val="single"/>
                  <w:rtl w:val="0"/>
                </w:rPr>
                <w:t xml:space="preserve">here</w:t>
              </w:r>
            </w:hyperlink>
            <w:r w:rsidDel="00000000" w:rsidR="00000000" w:rsidRPr="00000000">
              <w:rPr>
                <w:rFonts w:ascii="Calibri" w:cs="Calibri" w:eastAsia="Calibri" w:hAnsi="Calibri"/>
                <w:sz w:val="22"/>
                <w:szCs w:val="22"/>
                <w:rtl w:val="0"/>
              </w:rPr>
              <w:t xml:space="preserve">), including sharing the PFS documents with Planet.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June 2018</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23">
            <w:pPr>
              <w:spacing w:after="40" w:before="40" w:lineRule="auto"/>
              <w:contextualSpacing w:val="0"/>
              <w:jc w:val="center"/>
              <w:rPr>
                <w:rFonts w:ascii="Calibri" w:cs="Calibri" w:eastAsia="Calibri" w:hAnsi="Calibri"/>
                <w:b w:val="1"/>
                <w:color w:val="dbe5f1"/>
                <w:sz w:val="22"/>
                <w:szCs w:val="22"/>
              </w:rPr>
            </w:pPr>
            <w:r w:rsidDel="00000000" w:rsidR="00000000" w:rsidRPr="00000000">
              <w:rPr>
                <w:rFonts w:ascii="Calibri" w:cs="Calibri" w:eastAsia="Calibri" w:hAnsi="Calibri"/>
                <w:b w:val="1"/>
                <w:color w:val="dbe5f1"/>
                <w:sz w:val="22"/>
                <w:szCs w:val="22"/>
                <w:rtl w:val="0"/>
              </w:rPr>
              <w:t xml:space="preserve">SDCG-13-10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SDCG EXEC to follow-up on the CEOS ARD feedback forms received at GFOI Plenary. EXEC to suggest any other GFOI Plenary contacts who may be able to provide feedback (e.g. Colombia).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April 2018</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26">
            <w:pPr>
              <w:spacing w:after="40" w:before="40" w:lineRule="auto"/>
              <w:contextualSpacing w:val="0"/>
              <w:jc w:val="center"/>
              <w:rPr>
                <w:rFonts w:ascii="Calibri" w:cs="Calibri" w:eastAsia="Calibri" w:hAnsi="Calibri"/>
                <w:b w:val="1"/>
                <w:color w:val="dbe5f1"/>
                <w:sz w:val="22"/>
                <w:szCs w:val="22"/>
              </w:rPr>
            </w:pPr>
            <w:r w:rsidDel="00000000" w:rsidR="00000000" w:rsidRPr="00000000">
              <w:rPr>
                <w:rFonts w:ascii="Calibri" w:cs="Calibri" w:eastAsia="Calibri" w:hAnsi="Calibri"/>
                <w:b w:val="1"/>
                <w:color w:val="dbe5f1"/>
                <w:sz w:val="22"/>
                <w:szCs w:val="22"/>
                <w:rtl w:val="0"/>
              </w:rPr>
              <w:t xml:space="preserve">SDCG-13-11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Joanne and Brian to explore CARD4L compliance and the development of a compliance matrix. (Reference LSI information on CARD4L and CEOS ARD provided by Stephen).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June 2018</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29">
            <w:pPr>
              <w:spacing w:after="40" w:before="40" w:lineRule="auto"/>
              <w:contextualSpacing w:val="0"/>
              <w:jc w:val="center"/>
              <w:rPr>
                <w:rFonts w:ascii="Calibri" w:cs="Calibri" w:eastAsia="Calibri" w:hAnsi="Calibri"/>
                <w:b w:val="1"/>
                <w:color w:val="dbe5f1"/>
                <w:sz w:val="22"/>
                <w:szCs w:val="22"/>
              </w:rPr>
            </w:pPr>
            <w:r w:rsidDel="00000000" w:rsidR="00000000" w:rsidRPr="00000000">
              <w:rPr>
                <w:rFonts w:ascii="Calibri" w:cs="Calibri" w:eastAsia="Calibri" w:hAnsi="Calibri"/>
                <w:b w:val="1"/>
                <w:color w:val="dbe5f1"/>
                <w:sz w:val="22"/>
                <w:szCs w:val="22"/>
                <w:rtl w:val="0"/>
              </w:rPr>
              <w:t xml:space="preserve">SDCG-13-12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Joanne to circulate the draft Terms of Reference document captured at SDCG-13 for EXEC feedback and comment. EXEC to comment, for discussion on first post-SDCG-13 telecon.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spacing w:after="40" w:before="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April 2018</w:t>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2C">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EXEC to comment on the draft SDCG 3-Year Work Plan overview document, for discussion on first post-SDCG-13 telecon.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April 2018</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2F">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spacing w:after="40" w:before="40" w:lineRule="auto"/>
              <w:contextualSpacing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SDCG EXEC and Osamu to provide feedback, comments, and suggested changes to the revised SDCG 2018-2020 Work Plan Outcomes. (</w:t>
            </w:r>
            <w:hyperlink r:id="rId9">
              <w:r w:rsidDel="00000000" w:rsidR="00000000" w:rsidRPr="00000000">
                <w:rPr>
                  <w:rFonts w:ascii="Calibri" w:cs="Calibri" w:eastAsia="Calibri" w:hAnsi="Calibri"/>
                  <w:color w:val="1155cc"/>
                  <w:sz w:val="22"/>
                  <w:szCs w:val="22"/>
                  <w:u w:val="single"/>
                  <w:rtl w:val="0"/>
                </w:rPr>
                <w:t xml:space="preserve">Here</w:t>
              </w:r>
            </w:hyperlink>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April 2018</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32">
            <w:pPr>
              <w:spacing w:after="40" w:before="40" w:lineRule="auto"/>
              <w:contextualSpacing w:val="0"/>
              <w:jc w:val="center"/>
              <w:rPr>
                <w:rFonts w:ascii="Calibri" w:cs="Calibri" w:eastAsia="Calibri" w:hAnsi="Calibri"/>
                <w:b w:val="1"/>
                <w:color w:val="dbe5f1"/>
                <w:sz w:val="22"/>
                <w:szCs w:val="22"/>
              </w:rPr>
            </w:pPr>
            <w:r w:rsidDel="00000000" w:rsidR="00000000" w:rsidRPr="00000000">
              <w:rPr>
                <w:rFonts w:ascii="Calibri" w:cs="Calibri" w:eastAsia="Calibri" w:hAnsi="Calibri"/>
                <w:b w:val="1"/>
                <w:color w:val="dbe5f1"/>
                <w:sz w:val="22"/>
                <w:szCs w:val="22"/>
                <w:rtl w:val="0"/>
              </w:rPr>
              <w:t xml:space="preserve">SDCG-13-15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SDCG EXEC to circulate the revised SDCG 2018-2020 Work Plan Outcomes to SDCG-All for comment and feedback.</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May 2018</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35">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SDCG Sec with support of EXEC and Osamu to draft an updated SDCG 2018-2020 Work Plan with a schedule of milestones and reviews for concurrence at SDCG-14.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SDCG-14</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38">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Joanne and Frank Martin to send Osamu the summary (1-2 slides) of the SDCG resourcing study status for SIT-33 (22-24 April)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No later than 6 April</w:t>
            </w: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3B">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SDCG Sec to create a preliminary set of mission timelines for coming biomass missions as input to a potential biomass outcome in the new 2018-2020 Work Plan.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April 2018</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3E">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Joanne to seek feedback from the CEOS LPV sub-group on biomass estimation on the potential for GFOI/SDCG to help on dataset coordination.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April 2018</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41">
            <w:pPr>
              <w:spacing w:after="40" w:before="40" w:lineRule="auto"/>
              <w:contextualSpacing w:val="0"/>
              <w:jc w:val="center"/>
              <w:rPr>
                <w:sz w:val="22"/>
                <w:szCs w:val="22"/>
              </w:rPr>
            </w:pPr>
            <w:r w:rsidDel="00000000" w:rsidR="00000000" w:rsidRPr="00000000">
              <w:rPr>
                <w:rFonts w:ascii="Calibri" w:cs="Calibri" w:eastAsia="Calibri" w:hAnsi="Calibri"/>
                <w:b w:val="1"/>
                <w:color w:val="dbe5f1"/>
                <w:sz w:val="22"/>
                <w:szCs w:val="22"/>
                <w:rtl w:val="0"/>
              </w:rPr>
              <w:t xml:space="preserve">SDCG-13-20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SDCG Sec to follow-up with all SDCG agencies (including those who were at SDCG-13) on their views for the role and activities of CEOS during GFOI Phase 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spacing w:after="40" w:before="40" w:lineRule="auto"/>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For SIT-33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44">
            <w:pPr>
              <w:spacing w:after="40" w:before="40" w:lineRule="auto"/>
              <w:contextualSpacing w:val="0"/>
              <w:jc w:val="center"/>
              <w:rPr>
                <w:rFonts w:ascii="Calibri" w:cs="Calibri" w:eastAsia="Calibri" w:hAnsi="Calibri"/>
                <w:b w:val="1"/>
                <w:color w:val="dbe5f1"/>
                <w:sz w:val="22"/>
                <w:szCs w:val="22"/>
              </w:rPr>
            </w:pPr>
            <w:r w:rsidDel="00000000" w:rsidR="00000000" w:rsidRPr="00000000">
              <w:rPr>
                <w:rFonts w:ascii="Calibri" w:cs="Calibri" w:eastAsia="Calibri" w:hAnsi="Calibri"/>
                <w:b w:val="1"/>
                <w:color w:val="dbe5f1"/>
                <w:sz w:val="22"/>
                <w:szCs w:val="22"/>
                <w:rtl w:val="0"/>
              </w:rPr>
              <w:t xml:space="preserve">SDCG-13-21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Frank Martin to provide link to the R&amp;D Team progress report for inclusion with the SDCG materials for SIT-33.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spacing w:after="40" w:before="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For SIT-33</w:t>
            </w:r>
          </w:p>
        </w:tc>
      </w:tr>
      <w:tr>
        <w:tc>
          <w:tcPr>
            <w:tcBorders>
              <w:top w:color="000000" w:space="0" w:sz="4" w:val="single"/>
              <w:left w:color="000000" w:space="0" w:sz="4" w:val="single"/>
              <w:bottom w:color="000000" w:space="0" w:sz="4" w:val="single"/>
              <w:right w:color="000000" w:space="0" w:sz="4" w:val="single"/>
            </w:tcBorders>
            <w:shd w:fill="003366" w:val="clear"/>
          </w:tcPr>
          <w:p w:rsidR="00000000" w:rsidDel="00000000" w:rsidP="00000000" w:rsidRDefault="00000000" w:rsidRPr="00000000" w14:paraId="00000047">
            <w:pPr>
              <w:spacing w:after="40" w:before="40" w:lineRule="auto"/>
              <w:contextualSpacing w:val="0"/>
              <w:jc w:val="center"/>
              <w:rPr>
                <w:rFonts w:ascii="Calibri" w:cs="Calibri" w:eastAsia="Calibri" w:hAnsi="Calibri"/>
                <w:b w:val="1"/>
                <w:color w:val="dbe5f1"/>
                <w:sz w:val="22"/>
                <w:szCs w:val="22"/>
              </w:rPr>
            </w:pPr>
            <w:r w:rsidDel="00000000" w:rsidR="00000000" w:rsidRPr="00000000">
              <w:rPr>
                <w:rFonts w:ascii="Calibri" w:cs="Calibri" w:eastAsia="Calibri" w:hAnsi="Calibri"/>
                <w:b w:val="1"/>
                <w:color w:val="dbe5f1"/>
                <w:sz w:val="22"/>
                <w:szCs w:val="22"/>
                <w:rtl w:val="0"/>
              </w:rPr>
              <w:t xml:space="preserve">SDCG-13-22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40" w:before="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Stephen to follow-up with the GFOI Office on the written summary of the trial Data Component meeting at GFOI Plenary.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spacing w:after="40" w:before="40" w:lineRule="auto"/>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April 2018</w:t>
            </w:r>
            <w:r w:rsidDel="00000000" w:rsidR="00000000" w:rsidRPr="00000000">
              <w:rPr>
                <w:rtl w:val="0"/>
              </w:rPr>
            </w:r>
          </w:p>
        </w:tc>
      </w:tr>
    </w:tbl>
    <w:p w:rsidR="00000000" w:rsidDel="00000000" w:rsidP="00000000" w:rsidRDefault="00000000" w:rsidRPr="00000000" w14:paraId="0000004A">
      <w:pPr>
        <w:contextualSpacing w:val="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9" w:w="11907"/>
      <w:pgMar w:bottom="90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GB"/>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ind w:left="432" w:hanging="432"/>
    </w:pPr>
    <w:rPr>
      <w:rFonts w:ascii="Arial" w:cs="Arial" w:eastAsia="Arial" w:hAnsi="Arial"/>
      <w:b w:val="1"/>
      <w:sz w:val="24"/>
      <w:szCs w:val="24"/>
    </w:rPr>
  </w:style>
  <w:style w:type="paragraph" w:styleId="Heading2">
    <w:name w:val="heading 2"/>
    <w:basedOn w:val="Normal"/>
    <w:next w:val="Normal"/>
    <w:pPr>
      <w:keepNext w:val="1"/>
      <w:keepLines w:val="1"/>
      <w:spacing w:after="120" w:before="120" w:lineRule="auto"/>
      <w:ind w:left="576" w:hanging="576"/>
    </w:pPr>
    <w:rPr>
      <w:rFonts w:ascii="Arial" w:cs="Arial" w:eastAsia="Arial" w:hAnsi="Arial"/>
      <w:b w:val="1"/>
      <w:sz w:val="22"/>
      <w:szCs w:val="22"/>
    </w:rPr>
  </w:style>
  <w:style w:type="paragraph" w:styleId="Heading3">
    <w:name w:val="heading 3"/>
    <w:basedOn w:val="Normal"/>
    <w:next w:val="Normal"/>
    <w:pPr>
      <w:keepNext w:val="1"/>
      <w:keepLines w:val="1"/>
      <w:ind w:left="720" w:hanging="720"/>
    </w:pPr>
    <w:rPr>
      <w:b w:val="1"/>
      <w:sz w:val="24"/>
      <w:szCs w:val="24"/>
    </w:rPr>
  </w:style>
  <w:style w:type="paragraph" w:styleId="Heading4">
    <w:name w:val="heading 4"/>
    <w:basedOn w:val="Normal"/>
    <w:next w:val="Normal"/>
    <w:pPr>
      <w:keepNext w:val="1"/>
      <w:keepLines w:val="1"/>
      <w:spacing w:after="120" w:lineRule="auto"/>
      <w:ind w:left="864" w:hanging="864"/>
    </w:pPr>
    <w:rPr>
      <w:b w:val="1"/>
      <w:sz w:val="22"/>
      <w:szCs w:val="22"/>
    </w:rPr>
  </w:style>
  <w:style w:type="paragraph" w:styleId="Heading5">
    <w:name w:val="heading 5"/>
    <w:basedOn w:val="Normal"/>
    <w:next w:val="Normal"/>
    <w:pPr>
      <w:keepNext w:val="1"/>
      <w:keepLines w:val="1"/>
      <w:tabs>
        <w:tab w:val="left" w:pos="0"/>
      </w:tabs>
      <w:ind w:left="1008" w:hanging="1008"/>
      <w:jc w:val="center"/>
    </w:pPr>
    <w:rPr>
      <w:b w:val="1"/>
      <w:sz w:val="24"/>
      <w:szCs w:val="24"/>
    </w:rPr>
  </w:style>
  <w:style w:type="paragraph" w:styleId="Heading6">
    <w:name w:val="heading 6"/>
    <w:basedOn w:val="Normal"/>
    <w:next w:val="Normal"/>
    <w:pPr>
      <w:keepNext w:val="1"/>
      <w:keepLines w:val="1"/>
      <w:spacing w:before="200" w:lineRule="auto"/>
      <w:ind w:left="1152" w:hanging="1152"/>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contextualSpacing w:val="1"/>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eos.org/document_management/Ad_Hoc_Teams/SDCG_for_GFOI/Meetings/SDCG-13/Presentations/SDCG%203-Year%20Work%20Plan%20-%202018-2020_V0-1.docx"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ceos.org/document_management/Meetings/Plenary/31/Presentations/4.17_Suzuki_AgencyReport_v1.2.pptx" TargetMode="External"/><Relationship Id="rId7" Type="http://schemas.openxmlformats.org/officeDocument/2006/relationships/hyperlink" Target="https://www.planet.com/pulse/surface-reflectance-basemaps/" TargetMode="External"/><Relationship Id="rId8" Type="http://schemas.openxmlformats.org/officeDocument/2006/relationships/hyperlink" Target="https://www.planet.com/pulse/a-clear-look-at-the-earths-surface-planets-surface-reflectance-b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